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B820" w14:textId="77777777" w:rsidR="00F05A4B" w:rsidRDefault="00F05A4B" w:rsidP="00F05A4B">
      <w:pPr>
        <w:jc w:val="right"/>
        <w:rPr>
          <w:rFonts w:ascii="Bookman Old Style" w:hAnsi="Bookman Old Style" w:cstheme="minorHAnsi"/>
          <w:b/>
        </w:rPr>
      </w:pPr>
    </w:p>
    <w:p w14:paraId="62E3CA83" w14:textId="4822AA22" w:rsidR="00F05A4B" w:rsidRPr="00F05A4B" w:rsidRDefault="00F05A4B" w:rsidP="00F05A4B">
      <w:pPr>
        <w:jc w:val="right"/>
        <w:rPr>
          <w:rFonts w:ascii="Arial" w:hAnsi="Arial" w:cs="Arial"/>
          <w:b/>
          <w:sz w:val="24"/>
          <w:szCs w:val="24"/>
        </w:rPr>
      </w:pPr>
      <w:r w:rsidRPr="00F05A4B">
        <w:rPr>
          <w:rFonts w:ascii="Arial" w:hAnsi="Arial" w:cs="Arial"/>
          <w:b/>
          <w:sz w:val="24"/>
          <w:szCs w:val="24"/>
        </w:rPr>
        <w:t>Bogotá,</w:t>
      </w:r>
      <w:r w:rsidR="006D285A">
        <w:rPr>
          <w:rFonts w:ascii="Arial" w:hAnsi="Arial" w:cs="Arial"/>
          <w:b/>
          <w:sz w:val="24"/>
          <w:szCs w:val="24"/>
        </w:rPr>
        <w:t xml:space="preserve"> </w:t>
      </w:r>
      <w:r w:rsidR="000E023A">
        <w:rPr>
          <w:rFonts w:ascii="Arial" w:hAnsi="Arial" w:cs="Arial"/>
          <w:b/>
          <w:sz w:val="24"/>
          <w:szCs w:val="24"/>
        </w:rPr>
        <w:t>1 de octubre</w:t>
      </w:r>
      <w:r w:rsidRPr="00F05A4B">
        <w:rPr>
          <w:rFonts w:ascii="Arial" w:hAnsi="Arial" w:cs="Arial"/>
          <w:b/>
          <w:sz w:val="24"/>
          <w:szCs w:val="24"/>
        </w:rPr>
        <w:t xml:space="preserve"> de 2019</w:t>
      </w:r>
    </w:p>
    <w:p w14:paraId="57DCFC99" w14:textId="77777777" w:rsidR="00F05A4B" w:rsidRPr="00F05A4B" w:rsidRDefault="00F05A4B" w:rsidP="00F05A4B">
      <w:pPr>
        <w:rPr>
          <w:rFonts w:ascii="Arial" w:hAnsi="Arial" w:cs="Arial"/>
          <w:color w:val="000000"/>
          <w:sz w:val="24"/>
          <w:szCs w:val="24"/>
        </w:rPr>
      </w:pPr>
    </w:p>
    <w:p w14:paraId="53D360D5" w14:textId="77777777" w:rsidR="00F05A4B" w:rsidRPr="00F05A4B" w:rsidRDefault="00F05A4B" w:rsidP="00F05A4B">
      <w:pPr>
        <w:rPr>
          <w:rFonts w:ascii="Arial" w:hAnsi="Arial" w:cs="Arial"/>
          <w:sz w:val="24"/>
          <w:szCs w:val="24"/>
        </w:rPr>
      </w:pPr>
      <w:r w:rsidRPr="00F05A4B">
        <w:rPr>
          <w:rFonts w:ascii="Arial" w:hAnsi="Arial" w:cs="Arial"/>
          <w:sz w:val="24"/>
          <w:szCs w:val="24"/>
        </w:rPr>
        <w:t>Representante</w:t>
      </w:r>
    </w:p>
    <w:p w14:paraId="6F36B0C1" w14:textId="7B927CD1" w:rsidR="00F05A4B" w:rsidRPr="00F05A4B" w:rsidRDefault="00F05A4B" w:rsidP="00F05A4B">
      <w:pPr>
        <w:rPr>
          <w:rFonts w:ascii="Arial" w:hAnsi="Arial" w:cs="Arial"/>
          <w:b/>
          <w:sz w:val="24"/>
          <w:szCs w:val="24"/>
        </w:rPr>
      </w:pPr>
      <w:r>
        <w:rPr>
          <w:rFonts w:ascii="Arial" w:hAnsi="Arial" w:cs="Arial"/>
          <w:b/>
          <w:sz w:val="24"/>
          <w:szCs w:val="24"/>
        </w:rPr>
        <w:t xml:space="preserve">CARLOS </w:t>
      </w:r>
      <w:r w:rsidR="00376DE2">
        <w:rPr>
          <w:rFonts w:ascii="Arial" w:hAnsi="Arial" w:cs="Arial"/>
          <w:b/>
          <w:sz w:val="24"/>
          <w:szCs w:val="24"/>
        </w:rPr>
        <w:t>CUENCA</w:t>
      </w:r>
      <w:r>
        <w:rPr>
          <w:rFonts w:ascii="Arial" w:hAnsi="Arial" w:cs="Arial"/>
          <w:b/>
          <w:sz w:val="24"/>
          <w:szCs w:val="24"/>
        </w:rPr>
        <w:t xml:space="preserve"> </w:t>
      </w:r>
      <w:r w:rsidR="00376DE2">
        <w:rPr>
          <w:rFonts w:ascii="Arial" w:hAnsi="Arial" w:cs="Arial"/>
          <w:b/>
          <w:sz w:val="24"/>
          <w:szCs w:val="24"/>
        </w:rPr>
        <w:t>CHAUX</w:t>
      </w:r>
    </w:p>
    <w:p w14:paraId="2027D31A" w14:textId="3AF2EBAC" w:rsidR="00F05A4B" w:rsidRPr="00F05A4B" w:rsidRDefault="00F05A4B" w:rsidP="00F05A4B">
      <w:pPr>
        <w:rPr>
          <w:rFonts w:ascii="Arial" w:hAnsi="Arial" w:cs="Arial"/>
          <w:sz w:val="24"/>
          <w:szCs w:val="24"/>
        </w:rPr>
      </w:pPr>
      <w:r w:rsidRPr="00F05A4B">
        <w:rPr>
          <w:rFonts w:ascii="Arial" w:hAnsi="Arial" w:cs="Arial"/>
          <w:sz w:val="24"/>
          <w:szCs w:val="24"/>
        </w:rPr>
        <w:t>Presidente Cámara de Representantes</w:t>
      </w:r>
    </w:p>
    <w:p w14:paraId="32DA5101" w14:textId="77777777" w:rsidR="00F05A4B" w:rsidRPr="00F05A4B" w:rsidRDefault="00F05A4B" w:rsidP="00F05A4B">
      <w:pPr>
        <w:spacing w:after="120"/>
        <w:rPr>
          <w:rFonts w:ascii="Arial" w:hAnsi="Arial" w:cs="Arial"/>
          <w:color w:val="000000"/>
          <w:sz w:val="24"/>
          <w:szCs w:val="24"/>
        </w:rPr>
      </w:pPr>
    </w:p>
    <w:p w14:paraId="7C6274EB" w14:textId="3DA5C685" w:rsidR="00F05A4B" w:rsidRPr="00F05A4B" w:rsidRDefault="00F05A4B" w:rsidP="00F05A4B">
      <w:pPr>
        <w:spacing w:after="120"/>
        <w:ind w:right="49"/>
        <w:jc w:val="right"/>
        <w:textAlignment w:val="center"/>
        <w:rPr>
          <w:rFonts w:ascii="Arial" w:hAnsi="Arial" w:cs="Arial"/>
          <w:color w:val="000000"/>
          <w:sz w:val="24"/>
          <w:szCs w:val="24"/>
        </w:rPr>
      </w:pPr>
      <w:r w:rsidRPr="00F05A4B">
        <w:rPr>
          <w:rFonts w:ascii="Arial" w:hAnsi="Arial" w:cs="Arial"/>
          <w:b/>
          <w:color w:val="000000"/>
          <w:sz w:val="24"/>
          <w:szCs w:val="24"/>
        </w:rPr>
        <w:t xml:space="preserve">Asunto: </w:t>
      </w:r>
      <w:r w:rsidRPr="00F05A4B">
        <w:rPr>
          <w:rFonts w:ascii="Arial" w:hAnsi="Arial" w:cs="Arial"/>
          <w:color w:val="000000"/>
          <w:sz w:val="24"/>
          <w:szCs w:val="24"/>
        </w:rPr>
        <w:t xml:space="preserve">Ponencia positiva </w:t>
      </w:r>
      <w:r>
        <w:rPr>
          <w:rFonts w:ascii="Arial" w:hAnsi="Arial" w:cs="Arial"/>
          <w:color w:val="000000"/>
          <w:sz w:val="24"/>
          <w:szCs w:val="24"/>
        </w:rPr>
        <w:t xml:space="preserve">Proyecto de </w:t>
      </w:r>
      <w:r w:rsidR="006D285A">
        <w:rPr>
          <w:rFonts w:ascii="Arial" w:hAnsi="Arial" w:cs="Arial"/>
          <w:color w:val="000000"/>
          <w:sz w:val="24"/>
          <w:szCs w:val="24"/>
        </w:rPr>
        <w:t xml:space="preserve">Acto </w:t>
      </w:r>
      <w:r w:rsidR="00164C88">
        <w:rPr>
          <w:rFonts w:ascii="Arial" w:hAnsi="Arial" w:cs="Arial"/>
          <w:color w:val="000000"/>
          <w:sz w:val="24"/>
          <w:szCs w:val="24"/>
        </w:rPr>
        <w:t>Legislativo</w:t>
      </w:r>
      <w:r>
        <w:rPr>
          <w:rFonts w:ascii="Arial" w:hAnsi="Arial" w:cs="Arial"/>
          <w:color w:val="000000"/>
          <w:sz w:val="24"/>
          <w:szCs w:val="24"/>
        </w:rPr>
        <w:t xml:space="preserve"> 172 de </w:t>
      </w:r>
      <w:r w:rsidRPr="00F05A4B">
        <w:rPr>
          <w:rFonts w:ascii="Arial" w:hAnsi="Arial" w:cs="Arial"/>
          <w:color w:val="000000"/>
          <w:sz w:val="24"/>
          <w:szCs w:val="24"/>
        </w:rPr>
        <w:t>201</w:t>
      </w:r>
      <w:r>
        <w:rPr>
          <w:rFonts w:ascii="Arial" w:hAnsi="Arial" w:cs="Arial"/>
          <w:color w:val="000000"/>
          <w:sz w:val="24"/>
          <w:szCs w:val="24"/>
        </w:rPr>
        <w:t>9</w:t>
      </w:r>
      <w:r w:rsidRPr="00F05A4B">
        <w:rPr>
          <w:rFonts w:ascii="Arial" w:hAnsi="Arial" w:cs="Arial"/>
          <w:color w:val="000000"/>
          <w:sz w:val="24"/>
          <w:szCs w:val="24"/>
        </w:rPr>
        <w:t xml:space="preserve"> Cámara.</w:t>
      </w:r>
    </w:p>
    <w:p w14:paraId="21C002E0" w14:textId="77777777" w:rsidR="00F05A4B" w:rsidRDefault="00F05A4B" w:rsidP="00F05A4B">
      <w:pPr>
        <w:jc w:val="both"/>
        <w:rPr>
          <w:rFonts w:ascii="Arial" w:hAnsi="Arial" w:cs="Arial"/>
          <w:sz w:val="24"/>
          <w:szCs w:val="24"/>
        </w:rPr>
      </w:pPr>
    </w:p>
    <w:p w14:paraId="18CE3D2E" w14:textId="77777777" w:rsidR="00F05A4B" w:rsidRDefault="00F05A4B" w:rsidP="00F05A4B">
      <w:pPr>
        <w:jc w:val="both"/>
        <w:rPr>
          <w:rFonts w:ascii="Arial" w:hAnsi="Arial" w:cs="Arial"/>
          <w:sz w:val="24"/>
          <w:szCs w:val="24"/>
        </w:rPr>
      </w:pPr>
    </w:p>
    <w:p w14:paraId="62C5B192" w14:textId="295DFF44" w:rsidR="00F05A4B" w:rsidRPr="00F05A4B" w:rsidRDefault="00F05A4B" w:rsidP="00F05A4B">
      <w:pPr>
        <w:jc w:val="both"/>
        <w:rPr>
          <w:rFonts w:ascii="Arial" w:hAnsi="Arial" w:cs="Arial"/>
          <w:sz w:val="24"/>
          <w:szCs w:val="24"/>
        </w:rPr>
      </w:pPr>
      <w:r w:rsidRPr="00F05A4B">
        <w:rPr>
          <w:rFonts w:ascii="Arial" w:hAnsi="Arial" w:cs="Arial"/>
          <w:sz w:val="24"/>
          <w:szCs w:val="24"/>
        </w:rPr>
        <w:t xml:space="preserve">En cumplimiento del encargo recibido por parte de la honorable Mesa Directiva de la Comisión Primera de la Cámara de Representantes del Congreso de la República y de conformidad con lo establecido en el artículo 150 de la Ley 5ª de 1992, procedo a rendir Informe de Ponencia para </w:t>
      </w:r>
      <w:r w:rsidR="00376DE2">
        <w:rPr>
          <w:rFonts w:ascii="Arial" w:hAnsi="Arial" w:cs="Arial"/>
          <w:sz w:val="24"/>
          <w:szCs w:val="24"/>
        </w:rPr>
        <w:t>segundo</w:t>
      </w:r>
      <w:r w:rsidRPr="00F05A4B">
        <w:rPr>
          <w:rFonts w:ascii="Arial" w:hAnsi="Arial" w:cs="Arial"/>
          <w:sz w:val="24"/>
          <w:szCs w:val="24"/>
        </w:rPr>
        <w:t xml:space="preserve"> debate en Cámara al Proyecto de </w:t>
      </w:r>
      <w:r w:rsidR="006D285A">
        <w:rPr>
          <w:rFonts w:ascii="Arial" w:hAnsi="Arial" w:cs="Arial"/>
          <w:sz w:val="24"/>
          <w:szCs w:val="24"/>
        </w:rPr>
        <w:t xml:space="preserve">Acto Legislativo </w:t>
      </w:r>
      <w:r w:rsidRPr="00F05A4B">
        <w:rPr>
          <w:rFonts w:ascii="Arial" w:hAnsi="Arial" w:cs="Arial"/>
          <w:sz w:val="24"/>
          <w:szCs w:val="24"/>
        </w:rPr>
        <w:t xml:space="preserve">N° 172  de 2019, </w:t>
      </w:r>
      <w:r w:rsidRPr="00F05A4B">
        <w:rPr>
          <w:rFonts w:ascii="Arial" w:hAnsi="Arial" w:cs="Arial"/>
          <w:i/>
          <w:iCs/>
          <w:sz w:val="24"/>
          <w:szCs w:val="24"/>
        </w:rPr>
        <w:t>“Por medio del cual se modifica el artículo 49 de la constitución política de colombia y se regulariza el uso recreativo del cannabis”.</w:t>
      </w:r>
    </w:p>
    <w:p w14:paraId="32AFCDBE" w14:textId="5446706C" w:rsidR="00F05A4B" w:rsidRPr="00F05A4B" w:rsidRDefault="00F05A4B" w:rsidP="00F05A4B">
      <w:pPr>
        <w:pStyle w:val="Textoindependiente"/>
        <w:jc w:val="both"/>
        <w:rPr>
          <w:rFonts w:ascii="Arial" w:hAnsi="Arial" w:cs="Arial"/>
        </w:rPr>
      </w:pPr>
      <w:r w:rsidRPr="00F05A4B">
        <w:rPr>
          <w:rFonts w:ascii="Arial" w:hAnsi="Arial" w:cs="Arial"/>
        </w:rPr>
        <w:t xml:space="preserve">El presente Informe está compuesto por </w:t>
      </w:r>
      <w:r w:rsidR="00EE1C73">
        <w:rPr>
          <w:rFonts w:ascii="Arial" w:hAnsi="Arial" w:cs="Arial"/>
        </w:rPr>
        <w:t>ocho</w:t>
      </w:r>
      <w:r w:rsidRPr="00F05A4B">
        <w:rPr>
          <w:rFonts w:ascii="Arial" w:hAnsi="Arial" w:cs="Arial"/>
        </w:rPr>
        <w:t xml:space="preserve"> (</w:t>
      </w:r>
      <w:r w:rsidR="00EE1C73">
        <w:rPr>
          <w:rFonts w:ascii="Arial" w:hAnsi="Arial" w:cs="Arial"/>
        </w:rPr>
        <w:t>8</w:t>
      </w:r>
      <w:r w:rsidRPr="00F05A4B">
        <w:rPr>
          <w:rFonts w:ascii="Arial" w:hAnsi="Arial" w:cs="Arial"/>
        </w:rPr>
        <w:t>) apartes:</w:t>
      </w:r>
    </w:p>
    <w:p w14:paraId="178B4974" w14:textId="1770B909" w:rsidR="00164C88" w:rsidRDefault="00164C88" w:rsidP="00F05A4B">
      <w:pPr>
        <w:pStyle w:val="Prrafodelista"/>
        <w:numPr>
          <w:ilvl w:val="0"/>
          <w:numId w:val="3"/>
        </w:numPr>
        <w:pBdr>
          <w:top w:val="nil"/>
          <w:left w:val="nil"/>
          <w:bottom w:val="nil"/>
          <w:right w:val="nil"/>
          <w:between w:val="nil"/>
        </w:pBdr>
        <w:spacing w:after="0" w:line="240" w:lineRule="auto"/>
        <w:ind w:right="115"/>
        <w:rPr>
          <w:rFonts w:ascii="Arial" w:eastAsia="Calibri" w:hAnsi="Arial" w:cs="Arial"/>
          <w:bCs/>
          <w:sz w:val="24"/>
          <w:szCs w:val="24"/>
        </w:rPr>
      </w:pPr>
      <w:r>
        <w:rPr>
          <w:rFonts w:ascii="Arial" w:eastAsia="Calibri" w:hAnsi="Arial" w:cs="Arial"/>
          <w:bCs/>
          <w:sz w:val="24"/>
          <w:szCs w:val="24"/>
        </w:rPr>
        <w:t>Trámite del proyecto</w:t>
      </w:r>
    </w:p>
    <w:p w14:paraId="1D74BD2E" w14:textId="7A43D690" w:rsidR="00F05A4B" w:rsidRPr="00F05A4B" w:rsidRDefault="00F05A4B" w:rsidP="00F05A4B">
      <w:pPr>
        <w:pStyle w:val="Prrafodelista"/>
        <w:numPr>
          <w:ilvl w:val="0"/>
          <w:numId w:val="3"/>
        </w:numPr>
        <w:pBdr>
          <w:top w:val="nil"/>
          <w:left w:val="nil"/>
          <w:bottom w:val="nil"/>
          <w:right w:val="nil"/>
          <w:between w:val="nil"/>
        </w:pBdr>
        <w:spacing w:after="0" w:line="240" w:lineRule="auto"/>
        <w:ind w:right="115"/>
        <w:rPr>
          <w:rFonts w:ascii="Arial" w:eastAsia="Calibri" w:hAnsi="Arial" w:cs="Arial"/>
          <w:bCs/>
          <w:sz w:val="24"/>
          <w:szCs w:val="24"/>
        </w:rPr>
      </w:pPr>
      <w:r w:rsidRPr="00F05A4B">
        <w:rPr>
          <w:rFonts w:ascii="Arial" w:eastAsia="Calibri" w:hAnsi="Arial" w:cs="Arial"/>
          <w:bCs/>
          <w:sz w:val="24"/>
          <w:szCs w:val="24"/>
        </w:rPr>
        <w:t>Objeto del Proyecto de Acto Legislativo</w:t>
      </w:r>
    </w:p>
    <w:p w14:paraId="228A484F" w14:textId="7A87F05D" w:rsidR="00F05A4B" w:rsidRPr="00F05A4B" w:rsidRDefault="00F05A4B" w:rsidP="00F05A4B">
      <w:pPr>
        <w:pStyle w:val="Prrafodelista"/>
        <w:numPr>
          <w:ilvl w:val="0"/>
          <w:numId w:val="3"/>
        </w:numPr>
        <w:pBdr>
          <w:top w:val="nil"/>
          <w:left w:val="nil"/>
          <w:bottom w:val="nil"/>
          <w:right w:val="nil"/>
          <w:between w:val="nil"/>
        </w:pBdr>
        <w:spacing w:after="0" w:line="240" w:lineRule="auto"/>
        <w:ind w:right="115"/>
        <w:rPr>
          <w:rFonts w:ascii="Arial" w:eastAsia="Calibri" w:hAnsi="Arial" w:cs="Arial"/>
          <w:bCs/>
          <w:sz w:val="24"/>
          <w:szCs w:val="24"/>
        </w:rPr>
      </w:pPr>
      <w:r w:rsidRPr="00F05A4B">
        <w:rPr>
          <w:rFonts w:ascii="Arial" w:eastAsia="Calibri" w:hAnsi="Arial" w:cs="Arial"/>
          <w:bCs/>
          <w:sz w:val="24"/>
          <w:szCs w:val="24"/>
        </w:rPr>
        <w:t>Problema a resolver</w:t>
      </w:r>
    </w:p>
    <w:p w14:paraId="2E04B3D3" w14:textId="1049CE9C" w:rsidR="00F05A4B" w:rsidRPr="00F05A4B" w:rsidRDefault="00F05A4B" w:rsidP="00F05A4B">
      <w:pPr>
        <w:pStyle w:val="Prrafodelista"/>
        <w:numPr>
          <w:ilvl w:val="0"/>
          <w:numId w:val="3"/>
        </w:numPr>
        <w:pBdr>
          <w:top w:val="nil"/>
          <w:left w:val="nil"/>
          <w:bottom w:val="nil"/>
          <w:right w:val="nil"/>
          <w:between w:val="nil"/>
        </w:pBdr>
        <w:spacing w:after="0" w:line="240" w:lineRule="auto"/>
        <w:ind w:right="115"/>
        <w:rPr>
          <w:rFonts w:ascii="Arial" w:eastAsia="Calibri" w:hAnsi="Arial" w:cs="Arial"/>
          <w:bCs/>
          <w:sz w:val="24"/>
          <w:szCs w:val="24"/>
        </w:rPr>
      </w:pPr>
      <w:r w:rsidRPr="00F05A4B">
        <w:rPr>
          <w:rFonts w:ascii="Arial" w:eastAsia="Calibri" w:hAnsi="Arial" w:cs="Arial"/>
          <w:bCs/>
          <w:sz w:val="24"/>
          <w:szCs w:val="24"/>
        </w:rPr>
        <w:t>Antecedentes</w:t>
      </w:r>
    </w:p>
    <w:p w14:paraId="0573772E" w14:textId="79EDA95C" w:rsidR="00F05A4B" w:rsidRPr="00F05A4B" w:rsidRDefault="00F05A4B" w:rsidP="00F05A4B">
      <w:pPr>
        <w:pStyle w:val="Prrafodelista"/>
        <w:numPr>
          <w:ilvl w:val="0"/>
          <w:numId w:val="3"/>
        </w:numPr>
        <w:pBdr>
          <w:top w:val="nil"/>
          <w:left w:val="nil"/>
          <w:bottom w:val="nil"/>
          <w:right w:val="nil"/>
          <w:between w:val="nil"/>
        </w:pBdr>
        <w:spacing w:after="0" w:line="240" w:lineRule="auto"/>
        <w:ind w:right="115"/>
        <w:rPr>
          <w:rFonts w:ascii="Arial" w:eastAsia="Calibri" w:hAnsi="Arial" w:cs="Arial"/>
          <w:bCs/>
          <w:sz w:val="24"/>
          <w:szCs w:val="24"/>
        </w:rPr>
      </w:pPr>
      <w:r w:rsidRPr="00F05A4B">
        <w:rPr>
          <w:rFonts w:ascii="Arial" w:eastAsia="Calibri" w:hAnsi="Arial" w:cs="Arial"/>
          <w:bCs/>
          <w:sz w:val="24"/>
          <w:szCs w:val="24"/>
        </w:rPr>
        <w:t>Regulación de estupefacientes en Colombia: análisis constitucional y legal.</w:t>
      </w:r>
    </w:p>
    <w:p w14:paraId="6BF55B46" w14:textId="754D9E5C" w:rsidR="00191D6F" w:rsidRPr="00191D6F" w:rsidRDefault="00191D6F" w:rsidP="00F05A4B">
      <w:pPr>
        <w:pStyle w:val="Prrafodelista"/>
        <w:numPr>
          <w:ilvl w:val="0"/>
          <w:numId w:val="3"/>
        </w:numPr>
        <w:spacing w:after="120" w:line="240" w:lineRule="auto"/>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Regularización exclusiva del cannabis </w:t>
      </w:r>
    </w:p>
    <w:p w14:paraId="53CC5ED9" w14:textId="39E0464A" w:rsidR="00F05A4B" w:rsidRPr="00F05A4B" w:rsidRDefault="00F05A4B" w:rsidP="00F05A4B">
      <w:pPr>
        <w:pStyle w:val="Prrafodelista"/>
        <w:numPr>
          <w:ilvl w:val="0"/>
          <w:numId w:val="3"/>
        </w:numPr>
        <w:spacing w:after="120" w:line="240" w:lineRule="auto"/>
        <w:jc w:val="both"/>
        <w:textAlignment w:val="center"/>
        <w:rPr>
          <w:rFonts w:ascii="Arial" w:eastAsia="Times New Roman" w:hAnsi="Arial" w:cs="Arial"/>
          <w:color w:val="000000"/>
          <w:sz w:val="24"/>
          <w:szCs w:val="24"/>
          <w:lang w:eastAsia="es-CO"/>
        </w:rPr>
      </w:pPr>
      <w:r w:rsidRPr="00F05A4B">
        <w:rPr>
          <w:rFonts w:ascii="Arial" w:eastAsia="Times New Roman" w:hAnsi="Arial" w:cs="Arial"/>
          <w:color w:val="000000"/>
          <w:sz w:val="24"/>
          <w:szCs w:val="24"/>
          <w:lang w:eastAsia="es-CO"/>
        </w:rPr>
        <w:t xml:space="preserve">Proposición </w:t>
      </w:r>
    </w:p>
    <w:p w14:paraId="625F9035" w14:textId="77777777" w:rsidR="00F05A4B" w:rsidRPr="00F05A4B" w:rsidRDefault="00F05A4B" w:rsidP="00F05A4B">
      <w:pPr>
        <w:pStyle w:val="Prrafodelista"/>
        <w:numPr>
          <w:ilvl w:val="0"/>
          <w:numId w:val="3"/>
        </w:numPr>
        <w:spacing w:after="120" w:line="240" w:lineRule="auto"/>
        <w:jc w:val="both"/>
        <w:textAlignment w:val="center"/>
        <w:rPr>
          <w:rFonts w:ascii="Arial" w:eastAsia="Times New Roman" w:hAnsi="Arial" w:cs="Arial"/>
          <w:color w:val="000000"/>
          <w:sz w:val="24"/>
          <w:szCs w:val="24"/>
          <w:lang w:eastAsia="es-CO"/>
        </w:rPr>
      </w:pPr>
      <w:r w:rsidRPr="00F05A4B">
        <w:rPr>
          <w:rFonts w:ascii="Arial" w:eastAsia="Times New Roman" w:hAnsi="Arial" w:cs="Arial"/>
          <w:color w:val="000000"/>
          <w:sz w:val="24"/>
          <w:szCs w:val="24"/>
          <w:lang w:eastAsia="es-CO"/>
        </w:rPr>
        <w:t>Texto Propuesto</w:t>
      </w:r>
    </w:p>
    <w:p w14:paraId="4FE7A848" w14:textId="4E48BDD0" w:rsidR="00F55092" w:rsidRPr="00F05A4B" w:rsidRDefault="00F05A4B" w:rsidP="00F05A4B">
      <w:pPr>
        <w:pStyle w:val="Prrafodelista"/>
        <w:numPr>
          <w:ilvl w:val="0"/>
          <w:numId w:val="3"/>
        </w:numPr>
        <w:spacing w:after="120" w:line="240" w:lineRule="auto"/>
        <w:jc w:val="both"/>
        <w:textAlignment w:val="center"/>
        <w:rPr>
          <w:rFonts w:ascii="Arial" w:eastAsia="Times New Roman" w:hAnsi="Arial" w:cs="Arial"/>
          <w:color w:val="000000"/>
          <w:sz w:val="24"/>
          <w:szCs w:val="24"/>
          <w:lang w:eastAsia="es-CO"/>
        </w:rPr>
      </w:pPr>
      <w:r w:rsidRPr="00F05A4B">
        <w:rPr>
          <w:rFonts w:ascii="Arial" w:eastAsia="Times New Roman" w:hAnsi="Arial" w:cs="Arial"/>
          <w:color w:val="000000"/>
          <w:sz w:val="24"/>
          <w:szCs w:val="24"/>
          <w:lang w:eastAsia="es-CO"/>
        </w:rPr>
        <w:t>Referencias</w:t>
      </w:r>
    </w:p>
    <w:p w14:paraId="5A8DA760" w14:textId="77021468" w:rsidR="0019685D" w:rsidRDefault="0019685D" w:rsidP="000F5F03">
      <w:pPr>
        <w:pBdr>
          <w:top w:val="nil"/>
          <w:left w:val="nil"/>
          <w:bottom w:val="nil"/>
          <w:right w:val="nil"/>
          <w:between w:val="nil"/>
        </w:pBdr>
        <w:ind w:right="115"/>
        <w:rPr>
          <w:rFonts w:ascii="Arial" w:hAnsi="Arial" w:cs="Arial"/>
          <w:b/>
          <w:sz w:val="24"/>
          <w:szCs w:val="24"/>
        </w:rPr>
      </w:pPr>
    </w:p>
    <w:p w14:paraId="25D5DD35" w14:textId="77777777" w:rsidR="00376DE2" w:rsidRDefault="00376DE2" w:rsidP="000F5F03">
      <w:pPr>
        <w:pBdr>
          <w:top w:val="nil"/>
          <w:left w:val="nil"/>
          <w:bottom w:val="nil"/>
          <w:right w:val="nil"/>
          <w:between w:val="nil"/>
        </w:pBdr>
        <w:ind w:right="115"/>
        <w:rPr>
          <w:rFonts w:ascii="Arial" w:hAnsi="Arial" w:cs="Arial"/>
          <w:b/>
          <w:sz w:val="24"/>
          <w:szCs w:val="24"/>
        </w:rPr>
      </w:pPr>
    </w:p>
    <w:p w14:paraId="3515C7B9" w14:textId="77777777" w:rsidR="00925EBA" w:rsidRDefault="00925EBA" w:rsidP="000F5F03">
      <w:pPr>
        <w:pBdr>
          <w:top w:val="nil"/>
          <w:left w:val="nil"/>
          <w:bottom w:val="nil"/>
          <w:right w:val="nil"/>
          <w:between w:val="nil"/>
        </w:pBdr>
        <w:ind w:right="115"/>
        <w:rPr>
          <w:rFonts w:ascii="Arial" w:hAnsi="Arial" w:cs="Arial"/>
          <w:b/>
          <w:sz w:val="24"/>
          <w:szCs w:val="24"/>
        </w:rPr>
      </w:pPr>
    </w:p>
    <w:p w14:paraId="1B3A4EC8" w14:textId="52DEC60D" w:rsidR="00F05A4B" w:rsidRDefault="00376DE2" w:rsidP="00376DE2">
      <w:pPr>
        <w:pBdr>
          <w:top w:val="nil"/>
          <w:left w:val="nil"/>
          <w:bottom w:val="nil"/>
          <w:right w:val="nil"/>
          <w:between w:val="nil"/>
        </w:pBdr>
        <w:ind w:right="115"/>
        <w:jc w:val="both"/>
        <w:rPr>
          <w:rFonts w:ascii="Arial" w:hAnsi="Arial" w:cs="Arial"/>
          <w:bCs/>
          <w:sz w:val="24"/>
          <w:szCs w:val="24"/>
        </w:rPr>
      </w:pPr>
      <w:r w:rsidRPr="00376DE2">
        <w:rPr>
          <w:rFonts w:ascii="Arial" w:hAnsi="Arial" w:cs="Arial"/>
          <w:bCs/>
          <w:sz w:val="24"/>
          <w:szCs w:val="24"/>
        </w:rPr>
        <w:t>Atentamente,</w:t>
      </w:r>
    </w:p>
    <w:p w14:paraId="77B2ADAB" w14:textId="77777777" w:rsidR="00925EBA" w:rsidRDefault="00925EBA" w:rsidP="00376DE2">
      <w:pPr>
        <w:pBdr>
          <w:top w:val="nil"/>
          <w:left w:val="nil"/>
          <w:bottom w:val="nil"/>
          <w:right w:val="nil"/>
          <w:between w:val="nil"/>
        </w:pBdr>
        <w:ind w:right="115"/>
        <w:jc w:val="both"/>
        <w:rPr>
          <w:rFonts w:ascii="Arial" w:hAnsi="Arial" w:cs="Arial"/>
          <w:bCs/>
          <w:sz w:val="24"/>
          <w:szCs w:val="24"/>
        </w:rPr>
      </w:pPr>
    </w:p>
    <w:p w14:paraId="1CBD76B4" w14:textId="77777777" w:rsidR="00925EBA" w:rsidRPr="00376DE2" w:rsidRDefault="00925EBA" w:rsidP="00376DE2">
      <w:pPr>
        <w:pBdr>
          <w:top w:val="nil"/>
          <w:left w:val="nil"/>
          <w:bottom w:val="nil"/>
          <w:right w:val="nil"/>
          <w:between w:val="nil"/>
        </w:pBdr>
        <w:ind w:right="115"/>
        <w:jc w:val="both"/>
        <w:rPr>
          <w:rFonts w:ascii="Arial" w:hAnsi="Arial" w:cs="Arial"/>
          <w:bCs/>
          <w:sz w:val="24"/>
          <w:szCs w:val="24"/>
        </w:rPr>
      </w:pPr>
    </w:p>
    <w:p w14:paraId="4852BE67" w14:textId="49DB5E08" w:rsidR="0019685D" w:rsidRDefault="0019685D" w:rsidP="0019685D">
      <w:pPr>
        <w:rPr>
          <w:rFonts w:ascii="Arial" w:hAnsi="Arial" w:cs="Arial"/>
          <w:b/>
          <w:sz w:val="24"/>
          <w:szCs w:val="24"/>
        </w:rPr>
      </w:pPr>
    </w:p>
    <w:p w14:paraId="7FB33FDB" w14:textId="5AE98118" w:rsidR="006D285A" w:rsidRDefault="000F5F03" w:rsidP="000F5F03">
      <w:pPr>
        <w:tabs>
          <w:tab w:val="left" w:pos="1455"/>
        </w:tabs>
        <w:rPr>
          <w:rFonts w:ascii="Arial" w:hAnsi="Arial" w:cs="Arial"/>
          <w:b/>
          <w:sz w:val="24"/>
          <w:szCs w:val="24"/>
        </w:rPr>
      </w:pPr>
      <w:r>
        <w:rPr>
          <w:rFonts w:ascii="Arial" w:hAnsi="Arial" w:cs="Arial"/>
          <w:b/>
          <w:sz w:val="24"/>
          <w:szCs w:val="24"/>
        </w:rPr>
        <w:tab/>
      </w:r>
    </w:p>
    <w:p w14:paraId="4411F4F7" w14:textId="3E53EF72" w:rsidR="000F5F03" w:rsidRPr="000F5F03" w:rsidRDefault="000F5F03" w:rsidP="000F5F03">
      <w:pPr>
        <w:rPr>
          <w:noProof/>
        </w:rPr>
      </w:pPr>
    </w:p>
    <w:p w14:paraId="4684DEC3" w14:textId="2F40D607" w:rsidR="0019685D" w:rsidRPr="000F5F03" w:rsidRDefault="0019685D" w:rsidP="000F5F03">
      <w:pPr>
        <w:rPr>
          <w:rFonts w:ascii="Arial" w:hAnsi="Arial" w:cs="Arial"/>
          <w:b/>
          <w:sz w:val="24"/>
          <w:szCs w:val="24"/>
        </w:rPr>
      </w:pPr>
      <w:r w:rsidRPr="0019685D">
        <w:rPr>
          <w:rFonts w:ascii="Arial" w:hAnsi="Arial" w:cs="Arial"/>
          <w:sz w:val="24"/>
          <w:szCs w:val="24"/>
        </w:rPr>
        <w:t>________________________</w:t>
      </w:r>
    </w:p>
    <w:p w14:paraId="7262C663" w14:textId="77777777" w:rsidR="0019685D" w:rsidRPr="0019685D" w:rsidRDefault="0019685D" w:rsidP="0019685D">
      <w:pPr>
        <w:ind w:left="426"/>
        <w:jc w:val="both"/>
        <w:rPr>
          <w:rFonts w:ascii="Arial" w:hAnsi="Arial" w:cs="Arial"/>
          <w:sz w:val="24"/>
          <w:szCs w:val="24"/>
        </w:rPr>
      </w:pPr>
    </w:p>
    <w:p w14:paraId="5261C537" w14:textId="77777777" w:rsidR="0019685D" w:rsidRPr="0019685D" w:rsidRDefault="0019685D" w:rsidP="0019685D">
      <w:pPr>
        <w:jc w:val="both"/>
        <w:rPr>
          <w:rFonts w:ascii="Arial" w:hAnsi="Arial" w:cs="Arial"/>
          <w:b/>
          <w:bCs/>
          <w:sz w:val="24"/>
          <w:szCs w:val="24"/>
        </w:rPr>
      </w:pPr>
      <w:r w:rsidRPr="0019685D">
        <w:rPr>
          <w:rFonts w:ascii="Arial" w:hAnsi="Arial" w:cs="Arial"/>
          <w:b/>
          <w:bCs/>
          <w:sz w:val="24"/>
          <w:szCs w:val="24"/>
        </w:rPr>
        <w:t>JUAN FERNANDO REYES KURI</w:t>
      </w:r>
    </w:p>
    <w:p w14:paraId="0BD7B590" w14:textId="77777777" w:rsidR="0019685D" w:rsidRPr="0019685D" w:rsidRDefault="0019685D" w:rsidP="0019685D">
      <w:pPr>
        <w:jc w:val="both"/>
        <w:rPr>
          <w:rFonts w:ascii="Arial" w:hAnsi="Arial" w:cs="Arial"/>
          <w:sz w:val="24"/>
          <w:szCs w:val="24"/>
        </w:rPr>
      </w:pPr>
      <w:r w:rsidRPr="0019685D">
        <w:rPr>
          <w:rFonts w:ascii="Arial" w:hAnsi="Arial" w:cs="Arial"/>
          <w:sz w:val="24"/>
          <w:szCs w:val="24"/>
        </w:rPr>
        <w:t>Representante a la Cámara por el Valle del Cauca</w:t>
      </w:r>
    </w:p>
    <w:p w14:paraId="6D5CFBF9" w14:textId="77777777" w:rsidR="0019685D" w:rsidRPr="0019685D" w:rsidRDefault="0019685D" w:rsidP="0019685D">
      <w:pPr>
        <w:jc w:val="both"/>
        <w:rPr>
          <w:rFonts w:ascii="Arial" w:hAnsi="Arial" w:cs="Arial"/>
          <w:sz w:val="24"/>
          <w:szCs w:val="24"/>
        </w:rPr>
      </w:pPr>
      <w:r w:rsidRPr="0019685D">
        <w:rPr>
          <w:rFonts w:ascii="Arial" w:hAnsi="Arial" w:cs="Arial"/>
          <w:sz w:val="24"/>
          <w:szCs w:val="24"/>
        </w:rPr>
        <w:t>Partido Liberal</w:t>
      </w:r>
    </w:p>
    <w:p w14:paraId="33140F80" w14:textId="59B1EDA3" w:rsidR="00191D6F" w:rsidRDefault="00191D6F" w:rsidP="00F05A4B">
      <w:pPr>
        <w:rPr>
          <w:rFonts w:eastAsia="Calibri"/>
        </w:rPr>
      </w:pPr>
    </w:p>
    <w:p w14:paraId="4408A8FE" w14:textId="4ABB3077" w:rsidR="00F05A4B" w:rsidRDefault="00F05A4B" w:rsidP="00F05A4B">
      <w:pPr>
        <w:rPr>
          <w:rFonts w:eastAsia="Calibri"/>
        </w:rPr>
      </w:pPr>
    </w:p>
    <w:p w14:paraId="4C16FED5" w14:textId="5E0C1666" w:rsidR="00F05A4B" w:rsidRPr="00F05A4B" w:rsidRDefault="00F05A4B" w:rsidP="00F05A4B">
      <w:pPr>
        <w:jc w:val="center"/>
        <w:rPr>
          <w:rFonts w:ascii="Arial" w:hAnsi="Arial" w:cs="Arial"/>
          <w:b/>
          <w:bCs/>
          <w:sz w:val="24"/>
          <w:szCs w:val="24"/>
        </w:rPr>
      </w:pPr>
      <w:r w:rsidRPr="00F05A4B">
        <w:rPr>
          <w:rFonts w:ascii="Arial" w:hAnsi="Arial" w:cs="Arial"/>
          <w:b/>
          <w:bCs/>
          <w:sz w:val="24"/>
          <w:szCs w:val="24"/>
        </w:rPr>
        <w:t xml:space="preserve">INFORME DE PONENCIA PARA </w:t>
      </w:r>
      <w:r w:rsidR="00376DE2">
        <w:rPr>
          <w:rFonts w:ascii="Arial" w:hAnsi="Arial" w:cs="Arial"/>
          <w:b/>
          <w:bCs/>
          <w:sz w:val="24"/>
          <w:szCs w:val="24"/>
        </w:rPr>
        <w:t>SEGUNDO</w:t>
      </w:r>
      <w:r w:rsidRPr="00F05A4B">
        <w:rPr>
          <w:rFonts w:ascii="Arial" w:hAnsi="Arial" w:cs="Arial"/>
          <w:b/>
          <w:bCs/>
          <w:sz w:val="24"/>
          <w:szCs w:val="24"/>
        </w:rPr>
        <w:t xml:space="preserve"> DEBATE EN CÁMARA AL PROYECTO DE </w:t>
      </w:r>
      <w:r w:rsidR="006D285A">
        <w:rPr>
          <w:rFonts w:ascii="Arial" w:hAnsi="Arial" w:cs="Arial"/>
          <w:b/>
          <w:bCs/>
          <w:sz w:val="24"/>
          <w:szCs w:val="24"/>
        </w:rPr>
        <w:t>ACTO LEGISLATIVO</w:t>
      </w:r>
      <w:r w:rsidRPr="00F05A4B">
        <w:rPr>
          <w:rFonts w:ascii="Arial" w:hAnsi="Arial" w:cs="Arial"/>
          <w:b/>
          <w:bCs/>
          <w:sz w:val="24"/>
          <w:szCs w:val="24"/>
        </w:rPr>
        <w:t xml:space="preserve"> N° 172  DE 2019, </w:t>
      </w:r>
      <w:r w:rsidRPr="00F05A4B">
        <w:rPr>
          <w:rFonts w:ascii="Arial" w:hAnsi="Arial" w:cs="Arial"/>
          <w:b/>
          <w:bCs/>
          <w:i/>
          <w:iCs/>
          <w:sz w:val="24"/>
          <w:szCs w:val="24"/>
        </w:rPr>
        <w:t>“POR MEDIO DEL CUAL SE MODIFICA EL ARTÍCULO 49 DE LA CONSTITUCIÓN POLÍTICA DE COLOMBIA Y SE REGULARIZA EL USO RECREATIVO DEL CANNABIS”.</w:t>
      </w:r>
    </w:p>
    <w:p w14:paraId="0A3F2165" w14:textId="32F0E334" w:rsidR="00F05A4B" w:rsidRPr="00F05A4B" w:rsidRDefault="00F05A4B" w:rsidP="00F05A4B">
      <w:pPr>
        <w:rPr>
          <w:rFonts w:ascii="Arial" w:eastAsia="Calibri" w:hAnsi="Arial" w:cs="Arial"/>
          <w:sz w:val="24"/>
          <w:szCs w:val="24"/>
        </w:rPr>
      </w:pPr>
    </w:p>
    <w:p w14:paraId="5E490E9E" w14:textId="77777777" w:rsidR="00F05A4B" w:rsidRPr="00F05A4B" w:rsidRDefault="00F05A4B" w:rsidP="00F05A4B">
      <w:pPr>
        <w:rPr>
          <w:rFonts w:eastAsia="Calibri"/>
        </w:rPr>
      </w:pPr>
    </w:p>
    <w:p w14:paraId="406EE448" w14:textId="0098C07E" w:rsidR="00164C88" w:rsidRDefault="00164C88" w:rsidP="00F05A4B">
      <w:pPr>
        <w:pStyle w:val="Ttulo2"/>
        <w:numPr>
          <w:ilvl w:val="0"/>
          <w:numId w:val="35"/>
        </w:numPr>
        <w:jc w:val="center"/>
        <w:rPr>
          <w:rFonts w:ascii="Arial" w:eastAsia="Calibri" w:hAnsi="Arial" w:cs="Arial"/>
          <w:sz w:val="24"/>
          <w:szCs w:val="24"/>
        </w:rPr>
      </w:pPr>
      <w:r>
        <w:rPr>
          <w:rFonts w:ascii="Arial" w:eastAsia="Calibri" w:hAnsi="Arial" w:cs="Arial"/>
          <w:sz w:val="24"/>
          <w:szCs w:val="24"/>
        </w:rPr>
        <w:t>TRÁMITE DEL PROYECTO</w:t>
      </w:r>
    </w:p>
    <w:p w14:paraId="154B1771" w14:textId="77777777" w:rsidR="00164C88" w:rsidRDefault="00164C88" w:rsidP="00164C88">
      <w:pPr>
        <w:pStyle w:val="Ttulo2"/>
        <w:ind w:left="0"/>
        <w:jc w:val="both"/>
        <w:rPr>
          <w:rFonts w:eastAsia="Calibri"/>
          <w:b w:val="0"/>
          <w:sz w:val="22"/>
          <w:szCs w:val="22"/>
        </w:rPr>
      </w:pPr>
    </w:p>
    <w:p w14:paraId="34BEF7BC" w14:textId="44033D27" w:rsidR="00164C88" w:rsidRPr="00946D14" w:rsidRDefault="00164C88" w:rsidP="00DE4E61">
      <w:pPr>
        <w:pStyle w:val="Ttulo2"/>
        <w:ind w:left="0"/>
        <w:jc w:val="both"/>
        <w:rPr>
          <w:rFonts w:ascii="Arial" w:eastAsia="Calibri" w:hAnsi="Arial" w:cs="Arial"/>
          <w:b w:val="0"/>
          <w:sz w:val="24"/>
          <w:szCs w:val="24"/>
        </w:rPr>
      </w:pPr>
      <w:r w:rsidRPr="00946D14">
        <w:rPr>
          <w:rFonts w:ascii="Arial" w:eastAsia="Calibri" w:hAnsi="Arial" w:cs="Arial"/>
          <w:b w:val="0"/>
          <w:sz w:val="24"/>
          <w:szCs w:val="24"/>
        </w:rPr>
        <w:t xml:space="preserve">El </w:t>
      </w:r>
      <w:r w:rsidR="00DE4E61">
        <w:rPr>
          <w:rFonts w:ascii="Arial" w:eastAsia="Calibri" w:hAnsi="Arial" w:cs="Arial"/>
          <w:b w:val="0"/>
          <w:sz w:val="24"/>
          <w:szCs w:val="24"/>
        </w:rPr>
        <w:t xml:space="preserve">15 de agosto de 2019 </w:t>
      </w:r>
      <w:r w:rsidRPr="00946D14">
        <w:rPr>
          <w:rFonts w:ascii="Arial" w:eastAsia="Calibri" w:hAnsi="Arial" w:cs="Arial"/>
          <w:b w:val="0"/>
          <w:sz w:val="24"/>
          <w:szCs w:val="24"/>
        </w:rPr>
        <w:t>fue radic</w:t>
      </w:r>
      <w:r w:rsidR="00946D14">
        <w:rPr>
          <w:rFonts w:ascii="Arial" w:eastAsia="Calibri" w:hAnsi="Arial" w:cs="Arial"/>
          <w:b w:val="0"/>
          <w:sz w:val="24"/>
          <w:szCs w:val="24"/>
        </w:rPr>
        <w:t>ado por los</w:t>
      </w:r>
      <w:r w:rsidRPr="00946D14">
        <w:rPr>
          <w:rFonts w:ascii="Arial" w:eastAsia="Calibri" w:hAnsi="Arial" w:cs="Arial"/>
          <w:b w:val="0"/>
          <w:sz w:val="24"/>
          <w:szCs w:val="24"/>
        </w:rPr>
        <w:t xml:space="preserve"> H.R.</w:t>
      </w:r>
      <w:r w:rsidR="00DE4E61">
        <w:rPr>
          <w:rFonts w:ascii="Arial" w:eastAsia="Calibri" w:hAnsi="Arial" w:cs="Arial"/>
          <w:b w:val="0"/>
          <w:sz w:val="24"/>
          <w:szCs w:val="24"/>
        </w:rPr>
        <w:t xml:space="preserve"> </w:t>
      </w:r>
      <w:hyperlink r:id="rId8" w:history="1">
        <w:r w:rsidRPr="00946D14">
          <w:rPr>
            <w:rFonts w:ascii="Arial" w:eastAsia="Calibri" w:hAnsi="Arial" w:cs="Arial"/>
            <w:b w:val="0"/>
            <w:sz w:val="24"/>
            <w:szCs w:val="24"/>
          </w:rPr>
          <w:t>Juan Carlos Lozada Vargas</w:t>
        </w:r>
      </w:hyperlink>
      <w:r w:rsidRPr="00946D14">
        <w:rPr>
          <w:rFonts w:ascii="Arial" w:eastAsia="Calibri" w:hAnsi="Arial" w:cs="Arial"/>
          <w:b w:val="0"/>
          <w:sz w:val="24"/>
          <w:szCs w:val="24"/>
        </w:rPr>
        <w:t>, H.R.</w:t>
      </w:r>
      <w:r w:rsidR="00DE4E61">
        <w:rPr>
          <w:rFonts w:ascii="Arial" w:eastAsia="Calibri" w:hAnsi="Arial" w:cs="Arial"/>
          <w:b w:val="0"/>
          <w:sz w:val="24"/>
          <w:szCs w:val="24"/>
        </w:rPr>
        <w:t xml:space="preserve"> </w:t>
      </w:r>
      <w:hyperlink r:id="rId9" w:history="1">
        <w:r w:rsidRPr="00946D14">
          <w:rPr>
            <w:rFonts w:ascii="Arial" w:eastAsia="Calibri" w:hAnsi="Arial" w:cs="Arial"/>
            <w:b w:val="0"/>
            <w:sz w:val="24"/>
            <w:szCs w:val="24"/>
          </w:rPr>
          <w:t>Juan Fernando Reyes Kuri</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0" w:history="1">
        <w:r w:rsidRPr="00946D14">
          <w:rPr>
            <w:rFonts w:ascii="Arial" w:eastAsia="Calibri" w:hAnsi="Arial" w:cs="Arial"/>
            <w:b w:val="0"/>
            <w:sz w:val="24"/>
            <w:szCs w:val="24"/>
          </w:rPr>
          <w:t>César Augusto Lorduy Maldonado</w:t>
        </w:r>
      </w:hyperlink>
      <w:r w:rsidRPr="00946D14">
        <w:rPr>
          <w:rFonts w:ascii="Arial" w:eastAsia="Calibri" w:hAnsi="Arial" w:cs="Arial"/>
          <w:b w:val="0"/>
          <w:sz w:val="24"/>
          <w:szCs w:val="24"/>
        </w:rPr>
        <w:t>, H.R.</w:t>
      </w:r>
      <w:r w:rsidR="00DE4E61">
        <w:rPr>
          <w:rFonts w:ascii="Arial" w:eastAsia="Calibri" w:hAnsi="Arial" w:cs="Arial"/>
          <w:b w:val="0"/>
          <w:sz w:val="24"/>
          <w:szCs w:val="24"/>
        </w:rPr>
        <w:t xml:space="preserve"> </w:t>
      </w:r>
      <w:hyperlink r:id="rId11" w:history="1">
        <w:r w:rsidRPr="00946D14">
          <w:rPr>
            <w:rFonts w:ascii="Arial" w:eastAsia="Calibri" w:hAnsi="Arial" w:cs="Arial"/>
            <w:b w:val="0"/>
            <w:sz w:val="24"/>
            <w:szCs w:val="24"/>
          </w:rPr>
          <w:t>Andrés David Calle Aguas</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2" w:history="1">
        <w:r w:rsidRPr="00946D14">
          <w:rPr>
            <w:rFonts w:ascii="Arial" w:eastAsia="Calibri" w:hAnsi="Arial" w:cs="Arial"/>
            <w:b w:val="0"/>
            <w:sz w:val="24"/>
            <w:szCs w:val="24"/>
          </w:rPr>
          <w:t>Alfredo Rafael Deluque Zuleta</w:t>
        </w:r>
      </w:hyperlink>
      <w:r w:rsidRPr="00946D14">
        <w:rPr>
          <w:rFonts w:ascii="Arial" w:eastAsia="Calibri" w:hAnsi="Arial" w:cs="Arial"/>
          <w:b w:val="0"/>
          <w:sz w:val="24"/>
          <w:szCs w:val="24"/>
        </w:rPr>
        <w:t>, H.R.</w:t>
      </w:r>
      <w:r w:rsidR="00DE4E61">
        <w:rPr>
          <w:rFonts w:ascii="Arial" w:eastAsia="Calibri" w:hAnsi="Arial" w:cs="Arial"/>
          <w:b w:val="0"/>
          <w:sz w:val="24"/>
          <w:szCs w:val="24"/>
        </w:rPr>
        <w:t xml:space="preserve"> </w:t>
      </w:r>
      <w:hyperlink r:id="rId13" w:history="1">
        <w:r w:rsidRPr="00946D14">
          <w:rPr>
            <w:rFonts w:ascii="Arial" w:eastAsia="Calibri" w:hAnsi="Arial" w:cs="Arial"/>
            <w:b w:val="0"/>
            <w:sz w:val="24"/>
            <w:szCs w:val="24"/>
          </w:rPr>
          <w:t>Katherine Miranda Peña</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4" w:history="1">
        <w:r w:rsidRPr="00946D14">
          <w:rPr>
            <w:rFonts w:ascii="Arial" w:eastAsia="Calibri" w:hAnsi="Arial" w:cs="Arial"/>
            <w:b w:val="0"/>
            <w:sz w:val="24"/>
            <w:szCs w:val="24"/>
          </w:rPr>
          <w:t>Juanita María Goebertus Estrada</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5" w:history="1">
        <w:r w:rsidRPr="00946D14">
          <w:rPr>
            <w:rFonts w:ascii="Arial" w:eastAsia="Calibri" w:hAnsi="Arial" w:cs="Arial"/>
            <w:b w:val="0"/>
            <w:sz w:val="24"/>
            <w:szCs w:val="24"/>
          </w:rPr>
          <w:t>Alejandro Alberto Vega Pérez</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6" w:history="1">
        <w:r w:rsidRPr="00946D14">
          <w:rPr>
            <w:rFonts w:ascii="Arial" w:eastAsia="Calibri" w:hAnsi="Arial" w:cs="Arial"/>
            <w:b w:val="0"/>
            <w:sz w:val="24"/>
            <w:szCs w:val="24"/>
          </w:rPr>
          <w:t>Ciro Fernández Núñez</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7" w:history="1">
        <w:r w:rsidRPr="00946D14">
          <w:rPr>
            <w:rFonts w:ascii="Arial" w:eastAsia="Calibri" w:hAnsi="Arial" w:cs="Arial"/>
            <w:b w:val="0"/>
            <w:sz w:val="24"/>
            <w:szCs w:val="24"/>
          </w:rPr>
          <w:t>Harry Giovanny González García</w:t>
        </w:r>
      </w:hyperlink>
      <w:r w:rsidRPr="00946D14">
        <w:rPr>
          <w:rFonts w:ascii="Arial" w:eastAsia="Calibri" w:hAnsi="Arial" w:cs="Arial"/>
          <w:b w:val="0"/>
          <w:sz w:val="24"/>
          <w:szCs w:val="24"/>
        </w:rPr>
        <w:t>, H.R.</w:t>
      </w:r>
      <w:r w:rsidR="00DE4E61">
        <w:rPr>
          <w:rFonts w:ascii="Arial" w:eastAsia="Calibri" w:hAnsi="Arial" w:cs="Arial"/>
          <w:b w:val="0"/>
          <w:sz w:val="24"/>
          <w:szCs w:val="24"/>
        </w:rPr>
        <w:t xml:space="preserve"> </w:t>
      </w:r>
      <w:hyperlink r:id="rId18" w:history="1">
        <w:r w:rsidRPr="00946D14">
          <w:rPr>
            <w:rFonts w:ascii="Arial" w:eastAsia="Calibri" w:hAnsi="Arial" w:cs="Arial"/>
            <w:b w:val="0"/>
            <w:sz w:val="24"/>
            <w:szCs w:val="24"/>
          </w:rPr>
          <w:t>David Ricardo Racero Mayorca</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19" w:history="1">
        <w:r w:rsidRPr="00946D14">
          <w:rPr>
            <w:rFonts w:ascii="Arial" w:eastAsia="Calibri" w:hAnsi="Arial" w:cs="Arial"/>
            <w:b w:val="0"/>
            <w:sz w:val="24"/>
            <w:szCs w:val="24"/>
          </w:rPr>
          <w:t>Mauricio Andrés Toro Orjuela</w:t>
        </w:r>
      </w:hyperlink>
      <w:r w:rsidRPr="00946D14">
        <w:rPr>
          <w:rFonts w:ascii="Arial" w:eastAsia="Calibri" w:hAnsi="Arial" w:cs="Arial"/>
          <w:b w:val="0"/>
          <w:sz w:val="24"/>
          <w:szCs w:val="24"/>
        </w:rPr>
        <w:t>, H.R.</w:t>
      </w:r>
      <w:r w:rsidR="00DE4E61">
        <w:rPr>
          <w:rFonts w:ascii="Arial" w:eastAsia="Calibri" w:hAnsi="Arial" w:cs="Arial"/>
          <w:b w:val="0"/>
          <w:sz w:val="24"/>
          <w:szCs w:val="24"/>
        </w:rPr>
        <w:t xml:space="preserve"> </w:t>
      </w:r>
      <w:hyperlink r:id="rId20" w:history="1">
        <w:r w:rsidRPr="00946D14">
          <w:rPr>
            <w:rFonts w:ascii="Arial" w:eastAsia="Calibri" w:hAnsi="Arial" w:cs="Arial"/>
            <w:b w:val="0"/>
            <w:sz w:val="24"/>
            <w:szCs w:val="24"/>
          </w:rPr>
          <w:t>Catalina Ortiz Lalinde</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21" w:history="1">
        <w:r w:rsidRPr="00946D14">
          <w:rPr>
            <w:rFonts w:ascii="Arial" w:eastAsia="Calibri" w:hAnsi="Arial" w:cs="Arial"/>
            <w:b w:val="0"/>
            <w:sz w:val="24"/>
            <w:szCs w:val="24"/>
          </w:rPr>
          <w:t>Jairo Humberto Cristo Correa</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22" w:history="1">
        <w:r w:rsidRPr="00946D14">
          <w:rPr>
            <w:rFonts w:ascii="Arial" w:eastAsia="Calibri" w:hAnsi="Arial" w:cs="Arial"/>
            <w:b w:val="0"/>
            <w:sz w:val="24"/>
            <w:szCs w:val="24"/>
          </w:rPr>
          <w:t>Fabio Fernando Arroyave Rivas</w:t>
        </w:r>
      </w:hyperlink>
      <w:r w:rsidRPr="00946D14">
        <w:rPr>
          <w:rFonts w:ascii="Arial" w:eastAsia="Calibri" w:hAnsi="Arial" w:cs="Arial"/>
          <w:b w:val="0"/>
          <w:sz w:val="24"/>
          <w:szCs w:val="24"/>
        </w:rPr>
        <w:t> , H.R.</w:t>
      </w:r>
      <w:r w:rsidR="00DE4E61">
        <w:rPr>
          <w:rFonts w:ascii="Arial" w:eastAsia="Calibri" w:hAnsi="Arial" w:cs="Arial"/>
          <w:b w:val="0"/>
          <w:sz w:val="24"/>
          <w:szCs w:val="24"/>
        </w:rPr>
        <w:t xml:space="preserve"> </w:t>
      </w:r>
      <w:hyperlink r:id="rId23" w:history="1">
        <w:r w:rsidRPr="00946D14">
          <w:rPr>
            <w:rFonts w:ascii="Arial" w:eastAsia="Calibri" w:hAnsi="Arial" w:cs="Arial"/>
            <w:b w:val="0"/>
            <w:sz w:val="24"/>
            <w:szCs w:val="24"/>
          </w:rPr>
          <w:t>Inti Raúl Asprilla Reyes</w:t>
        </w:r>
      </w:hyperlink>
      <w:r w:rsidR="00DE4E61">
        <w:rPr>
          <w:rFonts w:ascii="Arial" w:eastAsia="Calibri" w:hAnsi="Arial" w:cs="Arial"/>
          <w:b w:val="0"/>
          <w:sz w:val="24"/>
          <w:szCs w:val="24"/>
        </w:rPr>
        <w:t xml:space="preserve"> y otros el </w:t>
      </w:r>
      <w:r w:rsidR="00DE4E61" w:rsidRPr="00946D14">
        <w:rPr>
          <w:rFonts w:ascii="Arial" w:eastAsia="Calibri" w:hAnsi="Arial" w:cs="Arial"/>
          <w:b w:val="0"/>
          <w:sz w:val="24"/>
          <w:szCs w:val="24"/>
        </w:rPr>
        <w:t>Proyecto de Acto Legislativo</w:t>
      </w:r>
    </w:p>
    <w:p w14:paraId="04EE8242" w14:textId="68E66B02" w:rsidR="00E87FCB" w:rsidRPr="00946D14" w:rsidRDefault="00E87FCB" w:rsidP="00E87FCB">
      <w:pPr>
        <w:rPr>
          <w:rFonts w:ascii="Arial" w:eastAsia="Calibri" w:hAnsi="Arial" w:cs="Arial"/>
          <w:sz w:val="24"/>
          <w:szCs w:val="24"/>
        </w:rPr>
      </w:pPr>
    </w:p>
    <w:p w14:paraId="6AA41AB1" w14:textId="4FC9922E" w:rsidR="00E87FCB" w:rsidRPr="00DE4E61" w:rsidRDefault="00E87FCB" w:rsidP="00DE4E61">
      <w:pPr>
        <w:pStyle w:val="Prrafodelista"/>
        <w:numPr>
          <w:ilvl w:val="0"/>
          <w:numId w:val="40"/>
        </w:numPr>
        <w:jc w:val="both"/>
        <w:rPr>
          <w:rFonts w:ascii="Arial" w:eastAsia="Calibri" w:hAnsi="Arial" w:cs="Arial"/>
          <w:sz w:val="24"/>
          <w:szCs w:val="24"/>
        </w:rPr>
      </w:pPr>
      <w:r w:rsidRPr="00DE4E61">
        <w:rPr>
          <w:rFonts w:ascii="Arial" w:eastAsia="Calibri" w:hAnsi="Arial" w:cs="Arial"/>
          <w:sz w:val="24"/>
          <w:szCs w:val="24"/>
        </w:rPr>
        <w:t xml:space="preserve">El </w:t>
      </w:r>
      <w:r w:rsidR="00946D14" w:rsidRPr="00DE4E61">
        <w:rPr>
          <w:rFonts w:ascii="Arial" w:eastAsia="Calibri" w:hAnsi="Arial" w:cs="Arial"/>
          <w:b/>
          <w:sz w:val="24"/>
          <w:szCs w:val="24"/>
        </w:rPr>
        <w:t>3 de septiembre de 2019</w:t>
      </w:r>
      <w:r w:rsidR="00946D14" w:rsidRPr="00DE4E61">
        <w:rPr>
          <w:rFonts w:ascii="Arial" w:eastAsia="Calibri" w:hAnsi="Arial" w:cs="Arial"/>
          <w:sz w:val="24"/>
          <w:szCs w:val="24"/>
        </w:rPr>
        <w:t xml:space="preserve"> se designaron los ponentes para surtir primer debate. </w:t>
      </w:r>
    </w:p>
    <w:p w14:paraId="60EF81D7" w14:textId="759C0D47" w:rsidR="00164C88" w:rsidRPr="00946D14" w:rsidRDefault="00164C88" w:rsidP="00E87FCB">
      <w:pPr>
        <w:pStyle w:val="Ttulo2"/>
        <w:ind w:left="0"/>
        <w:jc w:val="both"/>
        <w:rPr>
          <w:rFonts w:ascii="Arial" w:eastAsia="Calibri" w:hAnsi="Arial" w:cs="Arial"/>
          <w:b w:val="0"/>
          <w:sz w:val="24"/>
          <w:szCs w:val="24"/>
        </w:rPr>
      </w:pPr>
    </w:p>
    <w:p w14:paraId="466FF615" w14:textId="348CC3F9" w:rsidR="00C1312B" w:rsidRDefault="00E87FCB" w:rsidP="00C1312B">
      <w:pPr>
        <w:pStyle w:val="Ttulo2"/>
        <w:numPr>
          <w:ilvl w:val="0"/>
          <w:numId w:val="39"/>
        </w:numPr>
        <w:jc w:val="both"/>
        <w:rPr>
          <w:rFonts w:ascii="Arial" w:eastAsia="Calibri" w:hAnsi="Arial" w:cs="Arial"/>
          <w:b w:val="0"/>
          <w:sz w:val="24"/>
          <w:szCs w:val="24"/>
        </w:rPr>
      </w:pPr>
      <w:r w:rsidRPr="00946D14">
        <w:rPr>
          <w:rFonts w:ascii="Arial" w:eastAsia="Calibri" w:hAnsi="Arial" w:cs="Arial"/>
          <w:sz w:val="24"/>
          <w:szCs w:val="24"/>
        </w:rPr>
        <w:t xml:space="preserve">El 11 de septiembre de 2019 </w:t>
      </w:r>
      <w:r w:rsidRPr="00946D14">
        <w:rPr>
          <w:rFonts w:ascii="Arial" w:eastAsia="Calibri" w:hAnsi="Arial" w:cs="Arial"/>
          <w:b w:val="0"/>
          <w:sz w:val="24"/>
          <w:szCs w:val="24"/>
        </w:rPr>
        <w:t xml:space="preserve">fue radicado el </w:t>
      </w:r>
      <w:r w:rsidR="00946D14">
        <w:rPr>
          <w:rFonts w:ascii="Arial" w:eastAsia="Calibri" w:hAnsi="Arial" w:cs="Arial"/>
          <w:b w:val="0"/>
          <w:sz w:val="24"/>
          <w:szCs w:val="24"/>
        </w:rPr>
        <w:t>Informe de P</w:t>
      </w:r>
      <w:r w:rsidRPr="00946D14">
        <w:rPr>
          <w:rFonts w:ascii="Arial" w:eastAsia="Calibri" w:hAnsi="Arial" w:cs="Arial"/>
          <w:b w:val="0"/>
          <w:sz w:val="24"/>
          <w:szCs w:val="24"/>
        </w:rPr>
        <w:t xml:space="preserve">onencia para </w:t>
      </w:r>
      <w:r w:rsidR="00946D14">
        <w:rPr>
          <w:rFonts w:ascii="Arial" w:eastAsia="Calibri" w:hAnsi="Arial" w:cs="Arial"/>
          <w:b w:val="0"/>
          <w:sz w:val="24"/>
          <w:szCs w:val="24"/>
        </w:rPr>
        <w:t>P</w:t>
      </w:r>
      <w:r w:rsidRPr="00946D14">
        <w:rPr>
          <w:rFonts w:ascii="Arial" w:eastAsia="Calibri" w:hAnsi="Arial" w:cs="Arial"/>
          <w:b w:val="0"/>
          <w:sz w:val="24"/>
          <w:szCs w:val="24"/>
        </w:rPr>
        <w:t xml:space="preserve">rimer </w:t>
      </w:r>
      <w:r w:rsidR="00946D14">
        <w:rPr>
          <w:rFonts w:ascii="Arial" w:eastAsia="Calibri" w:hAnsi="Arial" w:cs="Arial"/>
          <w:b w:val="0"/>
          <w:sz w:val="24"/>
          <w:szCs w:val="24"/>
        </w:rPr>
        <w:t>D</w:t>
      </w:r>
      <w:r w:rsidRPr="00946D14">
        <w:rPr>
          <w:rFonts w:ascii="Arial" w:eastAsia="Calibri" w:hAnsi="Arial" w:cs="Arial"/>
          <w:b w:val="0"/>
          <w:sz w:val="24"/>
          <w:szCs w:val="24"/>
        </w:rPr>
        <w:t xml:space="preserve">ebate </w:t>
      </w:r>
      <w:r w:rsidR="00164C88" w:rsidRPr="00946D14">
        <w:rPr>
          <w:rFonts w:ascii="Arial" w:eastAsia="Calibri" w:hAnsi="Arial" w:cs="Arial"/>
          <w:b w:val="0"/>
          <w:sz w:val="24"/>
          <w:szCs w:val="24"/>
        </w:rPr>
        <w:t>por parte del H.R Juan Fernando Reyes Kuri</w:t>
      </w:r>
      <w:r w:rsidRPr="00946D14">
        <w:rPr>
          <w:rFonts w:ascii="Arial" w:eastAsia="Calibri" w:hAnsi="Arial" w:cs="Arial"/>
          <w:b w:val="0"/>
          <w:sz w:val="24"/>
          <w:szCs w:val="24"/>
        </w:rPr>
        <w:t>, quien fue designado como único ponente.</w:t>
      </w:r>
    </w:p>
    <w:p w14:paraId="1746F935" w14:textId="77777777" w:rsidR="00C1312B" w:rsidRPr="00C1312B" w:rsidRDefault="00C1312B" w:rsidP="00C1312B">
      <w:pPr>
        <w:rPr>
          <w:rFonts w:eastAsia="Calibri"/>
        </w:rPr>
      </w:pPr>
    </w:p>
    <w:p w14:paraId="7EB65A12" w14:textId="7B22A3A9" w:rsidR="00164C88" w:rsidRDefault="00E87FCB" w:rsidP="00E87FCB">
      <w:pPr>
        <w:pStyle w:val="Ttulo2"/>
        <w:numPr>
          <w:ilvl w:val="0"/>
          <w:numId w:val="39"/>
        </w:numPr>
        <w:jc w:val="both"/>
        <w:rPr>
          <w:rFonts w:ascii="Arial" w:eastAsia="Calibri" w:hAnsi="Arial" w:cs="Arial"/>
          <w:b w:val="0"/>
          <w:sz w:val="24"/>
          <w:szCs w:val="24"/>
        </w:rPr>
      </w:pPr>
      <w:r w:rsidRPr="00946D14">
        <w:rPr>
          <w:rFonts w:ascii="Arial" w:eastAsia="Calibri" w:hAnsi="Arial" w:cs="Arial"/>
          <w:sz w:val="24"/>
          <w:szCs w:val="24"/>
        </w:rPr>
        <w:t xml:space="preserve">El </w:t>
      </w:r>
      <w:r w:rsidR="00164C88" w:rsidRPr="00946D14">
        <w:rPr>
          <w:rFonts w:ascii="Arial" w:eastAsia="Calibri" w:hAnsi="Arial" w:cs="Arial"/>
          <w:sz w:val="24"/>
          <w:szCs w:val="24"/>
        </w:rPr>
        <w:t xml:space="preserve">23 </w:t>
      </w:r>
      <w:r w:rsidRPr="00946D14">
        <w:rPr>
          <w:rFonts w:ascii="Arial" w:eastAsia="Calibri" w:hAnsi="Arial" w:cs="Arial"/>
          <w:sz w:val="24"/>
          <w:szCs w:val="24"/>
        </w:rPr>
        <w:t xml:space="preserve">septiembre </w:t>
      </w:r>
      <w:r w:rsidR="00164C88" w:rsidRPr="00946D14">
        <w:rPr>
          <w:rFonts w:ascii="Arial" w:eastAsia="Calibri" w:hAnsi="Arial" w:cs="Arial"/>
          <w:sz w:val="24"/>
          <w:szCs w:val="24"/>
        </w:rPr>
        <w:t>de 2019</w:t>
      </w:r>
      <w:r w:rsidR="00164C88" w:rsidRPr="00946D14">
        <w:rPr>
          <w:rFonts w:ascii="Arial" w:eastAsia="Calibri" w:hAnsi="Arial" w:cs="Arial"/>
          <w:b w:val="0"/>
          <w:sz w:val="24"/>
          <w:szCs w:val="24"/>
        </w:rPr>
        <w:t xml:space="preserve"> fue anunciado</w:t>
      </w:r>
      <w:r w:rsidRPr="00946D14">
        <w:rPr>
          <w:rFonts w:ascii="Arial" w:eastAsia="Calibri" w:hAnsi="Arial" w:cs="Arial"/>
          <w:b w:val="0"/>
          <w:sz w:val="24"/>
          <w:szCs w:val="24"/>
        </w:rPr>
        <w:t xml:space="preserve"> el Proyecto de Acto Legislativo para surtir primer debate, como consta en el Acta No. 15 del mismo día.</w:t>
      </w:r>
    </w:p>
    <w:p w14:paraId="7AED7A42" w14:textId="77777777" w:rsidR="00C1312B" w:rsidRPr="00C1312B" w:rsidRDefault="00C1312B" w:rsidP="00C1312B">
      <w:pPr>
        <w:rPr>
          <w:rFonts w:eastAsia="Calibri"/>
        </w:rPr>
      </w:pPr>
    </w:p>
    <w:p w14:paraId="4B1CAC78" w14:textId="1C66C027" w:rsidR="00946D14" w:rsidRDefault="00E87FCB" w:rsidP="00BF7231">
      <w:pPr>
        <w:pStyle w:val="Prrafodelista"/>
        <w:numPr>
          <w:ilvl w:val="0"/>
          <w:numId w:val="39"/>
        </w:numPr>
        <w:ind w:left="709"/>
        <w:jc w:val="both"/>
        <w:rPr>
          <w:rFonts w:ascii="Arial" w:hAnsi="Arial" w:cs="Arial"/>
          <w:sz w:val="24"/>
          <w:szCs w:val="24"/>
        </w:rPr>
      </w:pPr>
      <w:r w:rsidRPr="00946D14">
        <w:rPr>
          <w:rFonts w:ascii="Arial" w:eastAsia="Calibri" w:hAnsi="Arial" w:cs="Arial"/>
          <w:b/>
          <w:sz w:val="24"/>
          <w:szCs w:val="24"/>
        </w:rPr>
        <w:t xml:space="preserve">El </w:t>
      </w:r>
      <w:r w:rsidR="00164C88" w:rsidRPr="00946D14">
        <w:rPr>
          <w:rFonts w:ascii="Arial" w:hAnsi="Arial" w:cs="Arial"/>
          <w:b/>
          <w:sz w:val="24"/>
          <w:szCs w:val="24"/>
        </w:rPr>
        <w:t>24 de septiembre de 2019</w:t>
      </w:r>
      <w:r w:rsidR="00164C88" w:rsidRPr="00946D14">
        <w:rPr>
          <w:rFonts w:ascii="Arial" w:hAnsi="Arial" w:cs="Arial"/>
          <w:sz w:val="24"/>
          <w:szCs w:val="24"/>
        </w:rPr>
        <w:t xml:space="preserve"> </w:t>
      </w:r>
      <w:r w:rsidRPr="00946D14">
        <w:rPr>
          <w:rFonts w:ascii="Arial" w:hAnsi="Arial" w:cs="Arial"/>
          <w:sz w:val="24"/>
          <w:szCs w:val="24"/>
        </w:rPr>
        <w:t>fue aprobado</w:t>
      </w:r>
      <w:r w:rsidR="00946D14" w:rsidRPr="00946D14">
        <w:rPr>
          <w:rFonts w:ascii="Arial" w:hAnsi="Arial" w:cs="Arial"/>
          <w:sz w:val="24"/>
          <w:szCs w:val="24"/>
        </w:rPr>
        <w:t xml:space="preserve"> el Informe de P</w:t>
      </w:r>
      <w:r w:rsidRPr="00946D14">
        <w:rPr>
          <w:rFonts w:ascii="Arial" w:hAnsi="Arial" w:cs="Arial"/>
          <w:sz w:val="24"/>
          <w:szCs w:val="24"/>
        </w:rPr>
        <w:t>onencia de Primer Debate en la Comisión Primera de la Cámara de Representantes y se surtió el</w:t>
      </w:r>
      <w:r w:rsidR="00C1312B">
        <w:rPr>
          <w:rFonts w:ascii="Arial" w:hAnsi="Arial" w:cs="Arial"/>
          <w:sz w:val="24"/>
          <w:szCs w:val="24"/>
        </w:rPr>
        <w:t xml:space="preserve"> primer debate.</w:t>
      </w:r>
    </w:p>
    <w:p w14:paraId="2CE65A7B" w14:textId="77777777" w:rsidR="00C1312B" w:rsidRDefault="00C1312B" w:rsidP="00C1312B">
      <w:pPr>
        <w:pStyle w:val="Prrafodelista"/>
        <w:ind w:left="709"/>
        <w:jc w:val="both"/>
        <w:rPr>
          <w:rFonts w:ascii="Arial" w:hAnsi="Arial" w:cs="Arial"/>
          <w:sz w:val="24"/>
          <w:szCs w:val="24"/>
        </w:rPr>
      </w:pPr>
    </w:p>
    <w:p w14:paraId="4034433D" w14:textId="7ACE9B4A" w:rsidR="00946D14" w:rsidRDefault="00E87FCB" w:rsidP="00946D14">
      <w:pPr>
        <w:pStyle w:val="Prrafodelista"/>
        <w:ind w:left="709"/>
        <w:jc w:val="both"/>
        <w:rPr>
          <w:rFonts w:ascii="Arial" w:hAnsi="Arial" w:cs="Arial"/>
          <w:sz w:val="24"/>
          <w:szCs w:val="24"/>
        </w:rPr>
      </w:pPr>
      <w:r w:rsidRPr="00946D14">
        <w:rPr>
          <w:rFonts w:ascii="Arial" w:hAnsi="Arial" w:cs="Arial"/>
          <w:sz w:val="24"/>
          <w:szCs w:val="24"/>
        </w:rPr>
        <w:t>Durante la sesi</w:t>
      </w:r>
      <w:r w:rsidR="00946D14" w:rsidRPr="00946D14">
        <w:rPr>
          <w:rFonts w:ascii="Arial" w:hAnsi="Arial" w:cs="Arial"/>
          <w:sz w:val="24"/>
          <w:szCs w:val="24"/>
        </w:rPr>
        <w:t xml:space="preserve">ón </w:t>
      </w:r>
      <w:r w:rsidRPr="00946D14">
        <w:rPr>
          <w:rFonts w:ascii="Arial" w:hAnsi="Arial" w:cs="Arial"/>
          <w:sz w:val="24"/>
          <w:szCs w:val="24"/>
        </w:rPr>
        <w:t xml:space="preserve">fue presentada una proposición </w:t>
      </w:r>
      <w:r w:rsidR="00C1312B">
        <w:rPr>
          <w:rFonts w:ascii="Arial" w:hAnsi="Arial" w:cs="Arial"/>
          <w:sz w:val="24"/>
          <w:szCs w:val="24"/>
        </w:rPr>
        <w:t>por parte del</w:t>
      </w:r>
      <w:r w:rsidRPr="00946D14">
        <w:rPr>
          <w:rFonts w:ascii="Arial" w:hAnsi="Arial" w:cs="Arial"/>
          <w:sz w:val="24"/>
          <w:szCs w:val="24"/>
        </w:rPr>
        <w:t xml:space="preserve"> H.R. José Daniel L</w:t>
      </w:r>
      <w:r w:rsidR="00946D14" w:rsidRPr="00946D14">
        <w:rPr>
          <w:rFonts w:ascii="Arial" w:hAnsi="Arial" w:cs="Arial"/>
          <w:sz w:val="24"/>
          <w:szCs w:val="24"/>
        </w:rPr>
        <w:t xml:space="preserve">ópez, en el siguiente sentido: permitir que la Ley </w:t>
      </w:r>
      <w:r w:rsidR="00C1312B">
        <w:rPr>
          <w:rFonts w:ascii="Arial" w:hAnsi="Arial" w:cs="Arial"/>
          <w:sz w:val="24"/>
          <w:szCs w:val="24"/>
        </w:rPr>
        <w:t>pueda</w:t>
      </w:r>
      <w:r w:rsidR="00946D14" w:rsidRPr="00946D14">
        <w:rPr>
          <w:rFonts w:ascii="Arial" w:hAnsi="Arial" w:cs="Arial"/>
          <w:sz w:val="24"/>
          <w:szCs w:val="24"/>
        </w:rPr>
        <w:t xml:space="preserve"> restringir y sancionar el porte y consumo del cannabis y sus derivados en es</w:t>
      </w:r>
      <w:r w:rsidR="00946D14">
        <w:rPr>
          <w:rFonts w:ascii="Arial" w:hAnsi="Arial" w:cs="Arial"/>
          <w:sz w:val="24"/>
          <w:szCs w:val="24"/>
        </w:rPr>
        <w:t>pacios públicos y zonas comunes.  L</w:t>
      </w:r>
      <w:r w:rsidR="00946D14" w:rsidRPr="00946D14">
        <w:rPr>
          <w:rFonts w:ascii="Arial" w:hAnsi="Arial" w:cs="Arial"/>
          <w:sz w:val="24"/>
          <w:szCs w:val="24"/>
        </w:rPr>
        <w:t>a c</w:t>
      </w:r>
      <w:r w:rsidR="00C1312B">
        <w:rPr>
          <w:rFonts w:ascii="Arial" w:hAnsi="Arial" w:cs="Arial"/>
          <w:sz w:val="24"/>
          <w:szCs w:val="24"/>
        </w:rPr>
        <w:t>ual fue avalada por el ponente.</w:t>
      </w:r>
    </w:p>
    <w:p w14:paraId="63286110" w14:textId="77777777" w:rsidR="00C1312B" w:rsidRPr="00946D14" w:rsidRDefault="00C1312B" w:rsidP="00946D14">
      <w:pPr>
        <w:pStyle w:val="Prrafodelista"/>
        <w:ind w:left="709"/>
        <w:jc w:val="both"/>
        <w:rPr>
          <w:rFonts w:ascii="Arial" w:hAnsi="Arial" w:cs="Arial"/>
          <w:sz w:val="24"/>
          <w:szCs w:val="24"/>
        </w:rPr>
      </w:pPr>
    </w:p>
    <w:p w14:paraId="69F4BB0C" w14:textId="4EE288C3" w:rsidR="00164C88" w:rsidRPr="000F5F03" w:rsidRDefault="00E87FCB" w:rsidP="000F5F03">
      <w:pPr>
        <w:pStyle w:val="Prrafodelista"/>
        <w:numPr>
          <w:ilvl w:val="0"/>
          <w:numId w:val="39"/>
        </w:numPr>
        <w:jc w:val="both"/>
        <w:rPr>
          <w:rFonts w:ascii="Arial" w:eastAsia="Calibri" w:hAnsi="Arial" w:cs="Arial"/>
          <w:sz w:val="24"/>
          <w:szCs w:val="24"/>
        </w:rPr>
      </w:pPr>
      <w:r w:rsidRPr="00946D14">
        <w:rPr>
          <w:rFonts w:ascii="Arial" w:eastAsia="Calibri" w:hAnsi="Arial" w:cs="Arial"/>
          <w:b/>
          <w:sz w:val="24"/>
          <w:szCs w:val="24"/>
        </w:rPr>
        <w:t xml:space="preserve">El </w:t>
      </w:r>
      <w:r w:rsidRPr="00946D14">
        <w:rPr>
          <w:rFonts w:ascii="Arial" w:hAnsi="Arial" w:cs="Arial"/>
          <w:b/>
          <w:sz w:val="24"/>
          <w:szCs w:val="24"/>
        </w:rPr>
        <w:t>24 de septiembre de 2019</w:t>
      </w:r>
      <w:r w:rsidRPr="00946D14">
        <w:rPr>
          <w:rFonts w:ascii="Arial" w:hAnsi="Arial" w:cs="Arial"/>
          <w:sz w:val="24"/>
          <w:szCs w:val="24"/>
        </w:rPr>
        <w:t xml:space="preserve"> </w:t>
      </w:r>
      <w:r w:rsidR="00164C88" w:rsidRPr="00946D14">
        <w:rPr>
          <w:rFonts w:ascii="Arial" w:hAnsi="Arial" w:cs="Arial"/>
          <w:sz w:val="24"/>
          <w:szCs w:val="24"/>
        </w:rPr>
        <w:t xml:space="preserve">fue aprobado </w:t>
      </w:r>
      <w:r w:rsidRPr="00946D14">
        <w:rPr>
          <w:rFonts w:ascii="Arial" w:hAnsi="Arial" w:cs="Arial"/>
          <w:sz w:val="24"/>
          <w:szCs w:val="24"/>
        </w:rPr>
        <w:t xml:space="preserve">el Proyecto de Acto Legislativo </w:t>
      </w:r>
      <w:r w:rsidR="00164C88" w:rsidRPr="00946D14">
        <w:rPr>
          <w:rFonts w:ascii="Arial" w:hAnsi="Arial" w:cs="Arial"/>
          <w:sz w:val="24"/>
          <w:szCs w:val="24"/>
        </w:rPr>
        <w:t>en la Comisión Primera de la Cámara de Representantes</w:t>
      </w:r>
      <w:r w:rsidR="00946D14">
        <w:rPr>
          <w:rFonts w:ascii="Arial" w:hAnsi="Arial" w:cs="Arial"/>
          <w:sz w:val="24"/>
          <w:szCs w:val="24"/>
        </w:rPr>
        <w:t xml:space="preserve"> con la proposición presentada por el H.R. </w:t>
      </w:r>
      <w:r w:rsidR="00946D14" w:rsidRPr="00946D14">
        <w:rPr>
          <w:rFonts w:ascii="Arial" w:hAnsi="Arial" w:cs="Arial"/>
          <w:sz w:val="24"/>
          <w:szCs w:val="24"/>
        </w:rPr>
        <w:t>José Daniel López</w:t>
      </w:r>
      <w:r w:rsidR="00946D14">
        <w:rPr>
          <w:rFonts w:ascii="Arial" w:hAnsi="Arial" w:cs="Arial"/>
          <w:sz w:val="24"/>
          <w:szCs w:val="24"/>
        </w:rPr>
        <w:t xml:space="preserve"> avalada por el ponente,</w:t>
      </w:r>
      <w:r w:rsidR="000F5F03">
        <w:rPr>
          <w:rFonts w:ascii="Arial" w:hAnsi="Arial" w:cs="Arial"/>
          <w:sz w:val="24"/>
          <w:szCs w:val="24"/>
        </w:rPr>
        <w:t xml:space="preserve"> </w:t>
      </w:r>
      <w:r w:rsidRPr="000F5F03">
        <w:rPr>
          <w:rFonts w:ascii="Arial" w:hAnsi="Arial" w:cs="Arial"/>
          <w:sz w:val="24"/>
          <w:szCs w:val="24"/>
        </w:rPr>
        <w:t>tal y como consta en el Acta No. 16 de la Comisión.</w:t>
      </w:r>
    </w:p>
    <w:p w14:paraId="06537E99" w14:textId="779CE71B" w:rsidR="00164C88" w:rsidRDefault="00164C88" w:rsidP="00164C88">
      <w:pPr>
        <w:rPr>
          <w:rFonts w:eastAsia="Calibri"/>
        </w:rPr>
      </w:pPr>
    </w:p>
    <w:p w14:paraId="45300BF2" w14:textId="77777777" w:rsidR="00B7414C" w:rsidRDefault="00B7414C" w:rsidP="00164C88">
      <w:pPr>
        <w:rPr>
          <w:rFonts w:eastAsia="Calibri"/>
        </w:rPr>
      </w:pPr>
      <w:bookmarkStart w:id="0" w:name="_GoBack"/>
      <w:bookmarkEnd w:id="0"/>
    </w:p>
    <w:p w14:paraId="2B7F9B5A" w14:textId="77777777" w:rsidR="00925EBA" w:rsidRDefault="00925EBA" w:rsidP="00164C88">
      <w:pPr>
        <w:rPr>
          <w:rFonts w:eastAsia="Calibri"/>
        </w:rPr>
      </w:pPr>
    </w:p>
    <w:p w14:paraId="595AE387" w14:textId="77777777" w:rsidR="00DE4E61" w:rsidRPr="00164C88" w:rsidRDefault="00DE4E61" w:rsidP="00164C88">
      <w:pPr>
        <w:rPr>
          <w:rFonts w:eastAsia="Calibri"/>
        </w:rPr>
      </w:pPr>
    </w:p>
    <w:p w14:paraId="2E7D079F" w14:textId="458CAA52" w:rsidR="00F05A4B" w:rsidRPr="00F05A4B" w:rsidRDefault="00F36280" w:rsidP="00F05A4B">
      <w:pPr>
        <w:pStyle w:val="Ttulo2"/>
        <w:numPr>
          <w:ilvl w:val="0"/>
          <w:numId w:val="35"/>
        </w:numPr>
        <w:jc w:val="center"/>
        <w:rPr>
          <w:rFonts w:ascii="Arial" w:eastAsia="Calibri" w:hAnsi="Arial" w:cs="Arial"/>
          <w:sz w:val="24"/>
          <w:szCs w:val="24"/>
        </w:rPr>
      </w:pPr>
      <w:r w:rsidRPr="00F05A4B">
        <w:rPr>
          <w:rFonts w:ascii="Arial" w:eastAsia="Calibri" w:hAnsi="Arial" w:cs="Arial"/>
          <w:sz w:val="24"/>
          <w:szCs w:val="24"/>
        </w:rPr>
        <w:t>OBJETO DEL PROYECTO DE ACTO LEGISLATIVO</w:t>
      </w:r>
    </w:p>
    <w:p w14:paraId="177EB559" w14:textId="77777777" w:rsidR="00F36280" w:rsidRPr="00F05A4B" w:rsidRDefault="00F36280" w:rsidP="00F55092">
      <w:pPr>
        <w:pStyle w:val="Ttulo2"/>
        <w:ind w:left="0"/>
        <w:rPr>
          <w:rFonts w:ascii="Arial" w:eastAsia="Calibri" w:hAnsi="Arial" w:cs="Arial"/>
          <w:b w:val="0"/>
          <w:sz w:val="24"/>
          <w:szCs w:val="24"/>
        </w:rPr>
      </w:pPr>
    </w:p>
    <w:p w14:paraId="72FFCAE1" w14:textId="5FD0EB6B"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El presente Proyecto de Acto Legislativo tiene como objeto permitir la regularización del uso del cannabis con fines recreativos por parte de mayores de edad</w:t>
      </w:r>
      <w:r w:rsidR="000F7153" w:rsidRPr="00F05A4B">
        <w:rPr>
          <w:rFonts w:ascii="Arial" w:eastAsia="Calibri" w:hAnsi="Arial" w:cs="Arial"/>
          <w:b w:val="0"/>
          <w:sz w:val="24"/>
          <w:szCs w:val="24"/>
        </w:rPr>
        <w:t>, así como la unificación de</w:t>
      </w:r>
      <w:r w:rsidRPr="00F05A4B">
        <w:rPr>
          <w:rFonts w:ascii="Arial" w:eastAsia="Calibri" w:hAnsi="Arial" w:cs="Arial"/>
          <w:b w:val="0"/>
          <w:sz w:val="24"/>
          <w:szCs w:val="24"/>
        </w:rPr>
        <w:t xml:space="preserve"> la normativa actual respecto a la </w:t>
      </w:r>
      <w:r w:rsidR="000F7153" w:rsidRPr="00F05A4B">
        <w:rPr>
          <w:rFonts w:ascii="Arial" w:eastAsia="Calibri" w:hAnsi="Arial" w:cs="Arial"/>
          <w:b w:val="0"/>
          <w:sz w:val="24"/>
          <w:szCs w:val="24"/>
        </w:rPr>
        <w:t>utilización</w:t>
      </w:r>
      <w:r w:rsidRPr="00F05A4B">
        <w:rPr>
          <w:rFonts w:ascii="Arial" w:eastAsia="Calibri" w:hAnsi="Arial" w:cs="Arial"/>
          <w:b w:val="0"/>
          <w:sz w:val="24"/>
          <w:szCs w:val="24"/>
        </w:rPr>
        <w:t xml:space="preserve"> del </w:t>
      </w:r>
      <w:r w:rsidR="000F7153" w:rsidRPr="00F05A4B">
        <w:rPr>
          <w:rFonts w:ascii="Arial" w:eastAsia="Calibri" w:hAnsi="Arial" w:cs="Arial"/>
          <w:b w:val="0"/>
          <w:sz w:val="24"/>
          <w:szCs w:val="24"/>
        </w:rPr>
        <w:t>cannabis para uso científico</w:t>
      </w:r>
      <w:r w:rsidRPr="00F05A4B">
        <w:rPr>
          <w:rFonts w:ascii="Arial" w:eastAsia="Calibri" w:hAnsi="Arial" w:cs="Arial"/>
          <w:b w:val="0"/>
          <w:sz w:val="24"/>
          <w:szCs w:val="24"/>
        </w:rPr>
        <w:t xml:space="preserve">. Lo anterior dirigido a </w:t>
      </w:r>
      <w:r w:rsidR="000F7153" w:rsidRPr="00F05A4B">
        <w:rPr>
          <w:rFonts w:ascii="Arial" w:eastAsia="Calibri" w:hAnsi="Arial" w:cs="Arial"/>
          <w:b w:val="0"/>
          <w:sz w:val="24"/>
          <w:szCs w:val="24"/>
        </w:rPr>
        <w:t>reconocer y garantizar los</w:t>
      </w:r>
      <w:r w:rsidRPr="00F05A4B">
        <w:rPr>
          <w:rFonts w:ascii="Arial" w:eastAsia="Calibri" w:hAnsi="Arial" w:cs="Arial"/>
          <w:b w:val="0"/>
          <w:sz w:val="24"/>
          <w:szCs w:val="24"/>
        </w:rPr>
        <w:t xml:space="preserve"> derecho</w:t>
      </w:r>
      <w:r w:rsidR="000F7153" w:rsidRPr="00F05A4B">
        <w:rPr>
          <w:rFonts w:ascii="Arial" w:eastAsia="Calibri" w:hAnsi="Arial" w:cs="Arial"/>
          <w:b w:val="0"/>
          <w:sz w:val="24"/>
          <w:szCs w:val="24"/>
        </w:rPr>
        <w:t>s</w:t>
      </w:r>
      <w:r w:rsidRPr="00F05A4B">
        <w:rPr>
          <w:rFonts w:ascii="Arial" w:eastAsia="Calibri" w:hAnsi="Arial" w:cs="Arial"/>
          <w:b w:val="0"/>
          <w:sz w:val="24"/>
          <w:szCs w:val="24"/>
        </w:rPr>
        <w:t xml:space="preserve"> fundamental</w:t>
      </w:r>
      <w:r w:rsidR="000F7153" w:rsidRPr="00F05A4B">
        <w:rPr>
          <w:rFonts w:ascii="Arial" w:eastAsia="Calibri" w:hAnsi="Arial" w:cs="Arial"/>
          <w:b w:val="0"/>
          <w:sz w:val="24"/>
          <w:szCs w:val="24"/>
        </w:rPr>
        <w:t>es</w:t>
      </w:r>
      <w:r w:rsidRPr="00F05A4B">
        <w:rPr>
          <w:rFonts w:ascii="Arial" w:eastAsia="Calibri" w:hAnsi="Arial" w:cs="Arial"/>
          <w:b w:val="0"/>
          <w:sz w:val="24"/>
          <w:szCs w:val="24"/>
        </w:rPr>
        <w:t xml:space="preserve"> </w:t>
      </w:r>
      <w:r w:rsidR="000F7153" w:rsidRPr="00F05A4B">
        <w:rPr>
          <w:rFonts w:ascii="Arial" w:eastAsia="Calibri" w:hAnsi="Arial" w:cs="Arial"/>
          <w:b w:val="0"/>
          <w:sz w:val="24"/>
          <w:szCs w:val="24"/>
        </w:rPr>
        <w:t>a la igualdad y al</w:t>
      </w:r>
      <w:r w:rsidRPr="00F05A4B">
        <w:rPr>
          <w:rFonts w:ascii="Arial" w:eastAsia="Calibri" w:hAnsi="Arial" w:cs="Arial"/>
          <w:b w:val="0"/>
          <w:sz w:val="24"/>
          <w:szCs w:val="24"/>
        </w:rPr>
        <w:t xml:space="preserve"> libre desarrollo de la personalidad</w:t>
      </w:r>
      <w:r w:rsidR="000F7153" w:rsidRPr="00F05A4B">
        <w:rPr>
          <w:rFonts w:ascii="Arial" w:eastAsia="Calibri" w:hAnsi="Arial" w:cs="Arial"/>
          <w:b w:val="0"/>
          <w:sz w:val="24"/>
          <w:szCs w:val="24"/>
        </w:rPr>
        <w:t>,</w:t>
      </w:r>
      <w:r w:rsidRPr="00F05A4B">
        <w:rPr>
          <w:rFonts w:ascii="Arial" w:eastAsia="Calibri" w:hAnsi="Arial" w:cs="Arial"/>
          <w:b w:val="0"/>
          <w:sz w:val="24"/>
          <w:szCs w:val="24"/>
        </w:rPr>
        <w:t xml:space="preserve"> </w:t>
      </w:r>
      <w:r w:rsidR="000F7153" w:rsidRPr="00F05A4B">
        <w:rPr>
          <w:rFonts w:ascii="Arial" w:eastAsia="Calibri" w:hAnsi="Arial" w:cs="Arial"/>
          <w:b w:val="0"/>
          <w:sz w:val="24"/>
          <w:szCs w:val="24"/>
        </w:rPr>
        <w:t>a alinear las referencias constitucionales, legales y jurisprudenciales sobre la materia y</w:t>
      </w:r>
      <w:r w:rsidRPr="00F05A4B">
        <w:rPr>
          <w:rFonts w:ascii="Arial" w:eastAsia="Calibri" w:hAnsi="Arial" w:cs="Arial"/>
          <w:b w:val="0"/>
          <w:sz w:val="24"/>
          <w:szCs w:val="24"/>
        </w:rPr>
        <w:t xml:space="preserve"> a </w:t>
      </w:r>
      <w:r w:rsidR="00F10075" w:rsidRPr="00F05A4B">
        <w:rPr>
          <w:rFonts w:ascii="Arial" w:eastAsia="Calibri" w:hAnsi="Arial" w:cs="Arial"/>
          <w:b w:val="0"/>
          <w:sz w:val="24"/>
          <w:szCs w:val="24"/>
        </w:rPr>
        <w:t xml:space="preserve">coadyuvar </w:t>
      </w:r>
      <w:r w:rsidR="000E548B" w:rsidRPr="00F05A4B">
        <w:rPr>
          <w:rFonts w:ascii="Arial" w:eastAsia="Calibri" w:hAnsi="Arial" w:cs="Arial"/>
          <w:b w:val="0"/>
          <w:sz w:val="24"/>
          <w:szCs w:val="24"/>
        </w:rPr>
        <w:t xml:space="preserve">a </w:t>
      </w:r>
      <w:r w:rsidRPr="00F05A4B">
        <w:rPr>
          <w:rFonts w:ascii="Arial" w:eastAsia="Calibri" w:hAnsi="Arial" w:cs="Arial"/>
          <w:b w:val="0"/>
          <w:sz w:val="24"/>
          <w:szCs w:val="24"/>
        </w:rPr>
        <w:t>combatir el tráfico</w:t>
      </w:r>
      <w:r w:rsidR="00F10075" w:rsidRPr="00F05A4B">
        <w:rPr>
          <w:rFonts w:ascii="Arial" w:eastAsia="Calibri" w:hAnsi="Arial" w:cs="Arial"/>
          <w:b w:val="0"/>
          <w:sz w:val="24"/>
          <w:szCs w:val="24"/>
        </w:rPr>
        <w:t xml:space="preserve"> ilegal</w:t>
      </w:r>
      <w:r w:rsidRPr="00F05A4B">
        <w:rPr>
          <w:rFonts w:ascii="Arial" w:eastAsia="Calibri" w:hAnsi="Arial" w:cs="Arial"/>
          <w:b w:val="0"/>
          <w:sz w:val="24"/>
          <w:szCs w:val="24"/>
        </w:rPr>
        <w:t xml:space="preserve"> de cannabis, </w:t>
      </w:r>
      <w:r w:rsidR="00F10075" w:rsidRPr="00F05A4B">
        <w:rPr>
          <w:rFonts w:ascii="Arial" w:eastAsia="Calibri" w:hAnsi="Arial" w:cs="Arial"/>
          <w:b w:val="0"/>
          <w:sz w:val="24"/>
          <w:szCs w:val="24"/>
        </w:rPr>
        <w:t>como estrategia para</w:t>
      </w:r>
      <w:r w:rsidRPr="00F05A4B">
        <w:rPr>
          <w:rFonts w:ascii="Arial" w:eastAsia="Calibri" w:hAnsi="Arial" w:cs="Arial"/>
          <w:b w:val="0"/>
          <w:sz w:val="24"/>
          <w:szCs w:val="24"/>
        </w:rPr>
        <w:t xml:space="preserve"> reducir la violencia</w:t>
      </w:r>
      <w:r w:rsidR="00F10075" w:rsidRPr="00F05A4B">
        <w:rPr>
          <w:rFonts w:ascii="Arial" w:eastAsia="Calibri" w:hAnsi="Arial" w:cs="Arial"/>
          <w:b w:val="0"/>
          <w:sz w:val="24"/>
          <w:szCs w:val="24"/>
        </w:rPr>
        <w:t xml:space="preserve"> en el país.</w:t>
      </w:r>
    </w:p>
    <w:p w14:paraId="74F42104" w14:textId="77777777" w:rsidR="008F207D" w:rsidRPr="00F05A4B" w:rsidRDefault="008F207D" w:rsidP="00F55092">
      <w:pPr>
        <w:rPr>
          <w:rFonts w:ascii="Arial" w:eastAsia="Calibri" w:hAnsi="Arial" w:cs="Arial"/>
          <w:sz w:val="24"/>
          <w:szCs w:val="24"/>
        </w:rPr>
      </w:pPr>
    </w:p>
    <w:p w14:paraId="431D065E" w14:textId="77777777" w:rsidR="00F36280" w:rsidRPr="00F05A4B" w:rsidRDefault="00F36280" w:rsidP="00F55092">
      <w:pPr>
        <w:pStyle w:val="Ttulo2"/>
        <w:numPr>
          <w:ilvl w:val="0"/>
          <w:numId w:val="35"/>
        </w:numPr>
        <w:ind w:left="-1133" w:firstLine="0"/>
        <w:jc w:val="center"/>
        <w:rPr>
          <w:rFonts w:ascii="Arial" w:eastAsia="Calibri" w:hAnsi="Arial" w:cs="Arial"/>
          <w:sz w:val="24"/>
          <w:szCs w:val="24"/>
        </w:rPr>
      </w:pPr>
      <w:r w:rsidRPr="00F05A4B">
        <w:rPr>
          <w:rFonts w:ascii="Arial" w:eastAsia="Calibri" w:hAnsi="Arial" w:cs="Arial"/>
          <w:sz w:val="24"/>
          <w:szCs w:val="24"/>
        </w:rPr>
        <w:t>PROBLEMA A RESOLVER</w:t>
      </w:r>
    </w:p>
    <w:p w14:paraId="4B8A19B7" w14:textId="77777777" w:rsidR="00F36280" w:rsidRPr="00F05A4B" w:rsidRDefault="00F36280" w:rsidP="00F55092">
      <w:pPr>
        <w:ind w:left="822"/>
        <w:rPr>
          <w:rFonts w:ascii="Arial" w:hAnsi="Arial" w:cs="Arial"/>
          <w:sz w:val="24"/>
          <w:szCs w:val="24"/>
        </w:rPr>
      </w:pPr>
    </w:p>
    <w:p w14:paraId="608DB904" w14:textId="4D620867" w:rsidR="00452196" w:rsidRPr="00F05A4B" w:rsidRDefault="00F36280" w:rsidP="00F55092">
      <w:pPr>
        <w:jc w:val="both"/>
        <w:rPr>
          <w:rFonts w:ascii="Arial" w:eastAsia="Calibri" w:hAnsi="Arial" w:cs="Arial"/>
          <w:sz w:val="24"/>
          <w:szCs w:val="24"/>
        </w:rPr>
      </w:pPr>
      <w:r w:rsidRPr="00F05A4B">
        <w:rPr>
          <w:rFonts w:ascii="Arial" w:eastAsia="Calibri" w:hAnsi="Arial" w:cs="Arial"/>
          <w:sz w:val="24"/>
          <w:szCs w:val="24"/>
        </w:rPr>
        <w:t>En Colombia, de acuerdo al artículo 49 Constitucional, modificado por el Acto Legislativo 02 de 2009</w:t>
      </w:r>
      <w:r w:rsidR="00732316" w:rsidRPr="00F05A4B">
        <w:rPr>
          <w:rStyle w:val="Refdenotaalpie"/>
          <w:rFonts w:ascii="Arial" w:eastAsia="Calibri" w:hAnsi="Arial" w:cs="Arial"/>
          <w:sz w:val="24"/>
          <w:szCs w:val="24"/>
        </w:rPr>
        <w:footnoteReference w:id="1"/>
      </w:r>
      <w:r w:rsidR="00F10075" w:rsidRPr="00F05A4B">
        <w:rPr>
          <w:rFonts w:ascii="Arial" w:eastAsia="Calibri" w:hAnsi="Arial" w:cs="Arial"/>
          <w:sz w:val="24"/>
          <w:szCs w:val="24"/>
        </w:rPr>
        <w:t>, está</w:t>
      </w:r>
      <w:r w:rsidRPr="00F05A4B">
        <w:rPr>
          <w:rFonts w:ascii="Arial" w:eastAsia="Calibri" w:hAnsi="Arial" w:cs="Arial"/>
          <w:sz w:val="24"/>
          <w:szCs w:val="24"/>
        </w:rPr>
        <w:t xml:space="preserve"> prohibido el porte y consumo de cualquier tipo de sustancia estupefaciente o psicotrópica </w:t>
      </w:r>
      <w:r w:rsidRPr="00F05A4B">
        <w:rPr>
          <w:rFonts w:ascii="Arial" w:eastAsia="Calibri" w:hAnsi="Arial" w:cs="Arial"/>
          <w:i/>
          <w:sz w:val="24"/>
          <w:szCs w:val="24"/>
        </w:rPr>
        <w:t>(</w:t>
      </w:r>
      <w:r w:rsidRPr="00F05A4B">
        <w:rPr>
          <w:rFonts w:ascii="Arial" w:hAnsi="Arial" w:cs="Arial"/>
          <w:i/>
          <w:sz w:val="24"/>
          <w:szCs w:val="24"/>
        </w:rPr>
        <w:t xml:space="preserve">hojas de coca, cocaína, opio, dihidromorfina, heroína, metadona, morfina, </w:t>
      </w:r>
      <w:r w:rsidRPr="00F05A4B">
        <w:rPr>
          <w:rFonts w:ascii="Arial" w:eastAsia="Calibri" w:hAnsi="Arial" w:cs="Arial"/>
          <w:i/>
          <w:sz w:val="24"/>
          <w:szCs w:val="24"/>
        </w:rPr>
        <w:t>cannabis y su resina y los extractos y tinturas de cannabis, amapola, droga sintética, nitrato de amilo popper, ketamina, GHB, entre otras)</w:t>
      </w:r>
      <w:r w:rsidR="00452196" w:rsidRPr="00F05A4B">
        <w:rPr>
          <w:rFonts w:ascii="Arial" w:eastAsia="Calibri" w:hAnsi="Arial" w:cs="Arial"/>
          <w:sz w:val="24"/>
          <w:szCs w:val="24"/>
        </w:rPr>
        <w:t>, salvo prescripción médica.</w:t>
      </w:r>
      <w:r w:rsidR="00732316" w:rsidRPr="00F05A4B">
        <w:rPr>
          <w:rFonts w:ascii="Arial" w:eastAsia="Calibri" w:hAnsi="Arial" w:cs="Arial"/>
          <w:sz w:val="24"/>
          <w:szCs w:val="24"/>
        </w:rPr>
        <w:t xml:space="preserve"> Prohibición que fue incluida con la finalidad de proteger la salud pública de los colombianos.</w:t>
      </w:r>
    </w:p>
    <w:p w14:paraId="6746C723" w14:textId="77777777" w:rsidR="00452196" w:rsidRPr="00F05A4B" w:rsidRDefault="00452196" w:rsidP="00F55092">
      <w:pPr>
        <w:jc w:val="both"/>
        <w:rPr>
          <w:rFonts w:ascii="Arial" w:eastAsia="Calibri" w:hAnsi="Arial" w:cs="Arial"/>
          <w:sz w:val="24"/>
          <w:szCs w:val="24"/>
        </w:rPr>
      </w:pPr>
    </w:p>
    <w:p w14:paraId="0C096BF5" w14:textId="30F539B9" w:rsidR="00F36280" w:rsidRPr="00F05A4B" w:rsidRDefault="00F10075" w:rsidP="00F55092">
      <w:pPr>
        <w:jc w:val="both"/>
        <w:rPr>
          <w:rFonts w:ascii="Arial" w:eastAsia="Calibri" w:hAnsi="Arial" w:cs="Arial"/>
          <w:sz w:val="24"/>
          <w:szCs w:val="24"/>
        </w:rPr>
      </w:pPr>
      <w:r w:rsidRPr="00F05A4B">
        <w:rPr>
          <w:rFonts w:ascii="Arial" w:eastAsia="Calibri" w:hAnsi="Arial" w:cs="Arial"/>
          <w:sz w:val="24"/>
          <w:szCs w:val="24"/>
        </w:rPr>
        <w:t>Este l</w:t>
      </w:r>
      <w:r w:rsidR="00F36280" w:rsidRPr="00F05A4B">
        <w:rPr>
          <w:rFonts w:ascii="Arial" w:eastAsia="Calibri" w:hAnsi="Arial" w:cs="Arial"/>
          <w:sz w:val="24"/>
          <w:szCs w:val="24"/>
        </w:rPr>
        <w:t xml:space="preserve">istado incluye el THC CANNABIS, </w:t>
      </w:r>
      <w:r w:rsidRPr="00F05A4B">
        <w:rPr>
          <w:rFonts w:ascii="Arial" w:eastAsia="Calibri" w:hAnsi="Arial" w:cs="Arial"/>
          <w:sz w:val="24"/>
          <w:szCs w:val="24"/>
        </w:rPr>
        <w:t>sustancia de reconocidos efectos terapéuticos de tipo anestésico, anticonvulsivante, anti glaucomatoso y antiasmático para uso en el tratamiento del glauc</w:t>
      </w:r>
      <w:r w:rsidR="00732316" w:rsidRPr="00F05A4B">
        <w:rPr>
          <w:rFonts w:ascii="Arial" w:eastAsia="Calibri" w:hAnsi="Arial" w:cs="Arial"/>
          <w:sz w:val="24"/>
          <w:szCs w:val="24"/>
        </w:rPr>
        <w:t>oma, del asma y de la epilepsia</w:t>
      </w:r>
      <w:r w:rsidRPr="00F05A4B">
        <w:rPr>
          <w:rStyle w:val="Refdenotaalpie"/>
          <w:rFonts w:ascii="Arial" w:eastAsia="Calibri" w:hAnsi="Arial" w:cs="Arial"/>
          <w:sz w:val="24"/>
          <w:szCs w:val="24"/>
        </w:rPr>
        <w:footnoteReference w:id="2"/>
      </w:r>
      <w:r w:rsidR="00732316" w:rsidRPr="00F05A4B">
        <w:rPr>
          <w:rFonts w:ascii="Arial" w:eastAsia="Calibri" w:hAnsi="Arial" w:cs="Arial"/>
          <w:sz w:val="24"/>
          <w:szCs w:val="24"/>
        </w:rPr>
        <w:t>. Propiedades que llevaron a que en febrero de este año la Organización Mundial de la Salud (OMS) solicitara su eliminación</w:t>
      </w:r>
      <w:r w:rsidRPr="00F05A4B">
        <w:rPr>
          <w:rFonts w:ascii="Arial" w:eastAsia="Calibri" w:hAnsi="Arial" w:cs="Arial"/>
          <w:sz w:val="24"/>
          <w:szCs w:val="24"/>
        </w:rPr>
        <w:t xml:space="preserve"> </w:t>
      </w:r>
      <w:r w:rsidR="00F36280" w:rsidRPr="00F05A4B">
        <w:rPr>
          <w:rFonts w:ascii="Arial" w:eastAsia="Calibri" w:hAnsi="Arial" w:cs="Arial"/>
          <w:sz w:val="24"/>
          <w:szCs w:val="24"/>
        </w:rPr>
        <w:t>de la Lista IV</w:t>
      </w:r>
      <w:r w:rsidR="00F36280" w:rsidRPr="00F05A4B">
        <w:rPr>
          <w:rStyle w:val="Refdenotaalpie"/>
          <w:rFonts w:ascii="Arial" w:eastAsia="Calibri" w:hAnsi="Arial" w:cs="Arial"/>
          <w:sz w:val="24"/>
          <w:szCs w:val="24"/>
        </w:rPr>
        <w:footnoteReference w:id="3"/>
      </w:r>
      <w:r w:rsidR="00F36280" w:rsidRPr="00F05A4B">
        <w:rPr>
          <w:rStyle w:val="Refdenotaalpie"/>
          <w:rFonts w:ascii="Arial" w:eastAsia="Calibri" w:hAnsi="Arial" w:cs="Arial"/>
          <w:sz w:val="24"/>
          <w:szCs w:val="24"/>
        </w:rPr>
        <w:footnoteReference w:id="4"/>
      </w:r>
      <w:r w:rsidR="00F36280" w:rsidRPr="00F05A4B">
        <w:rPr>
          <w:rFonts w:ascii="Arial" w:eastAsia="Calibri" w:hAnsi="Arial" w:cs="Arial"/>
          <w:sz w:val="24"/>
          <w:szCs w:val="24"/>
        </w:rPr>
        <w:t xml:space="preserve"> </w:t>
      </w:r>
      <w:r w:rsidRPr="00F05A4B">
        <w:rPr>
          <w:rFonts w:ascii="Arial" w:eastAsia="Calibri" w:hAnsi="Arial" w:cs="Arial"/>
          <w:sz w:val="24"/>
          <w:szCs w:val="24"/>
        </w:rPr>
        <w:t>de la Convención Única de 1961 sobre Estupefacientes.</w:t>
      </w:r>
    </w:p>
    <w:p w14:paraId="607F4DC0" w14:textId="77777777" w:rsidR="00F36280" w:rsidRPr="00F05A4B" w:rsidRDefault="00F36280" w:rsidP="00F55092">
      <w:pPr>
        <w:jc w:val="both"/>
        <w:rPr>
          <w:rFonts w:ascii="Arial" w:eastAsia="Calibri" w:hAnsi="Arial" w:cs="Arial"/>
          <w:sz w:val="24"/>
          <w:szCs w:val="24"/>
        </w:rPr>
      </w:pPr>
    </w:p>
    <w:p w14:paraId="0ED69DFD" w14:textId="4B7F21A5" w:rsidR="00F36280" w:rsidRPr="00F05A4B" w:rsidRDefault="00F36280" w:rsidP="00F55092">
      <w:pPr>
        <w:jc w:val="both"/>
        <w:rPr>
          <w:rFonts w:ascii="Arial" w:eastAsia="Calibri" w:hAnsi="Arial" w:cs="Arial"/>
          <w:sz w:val="24"/>
          <w:szCs w:val="24"/>
        </w:rPr>
      </w:pPr>
      <w:r w:rsidRPr="00F05A4B">
        <w:rPr>
          <w:rFonts w:ascii="Arial" w:eastAsia="Calibri" w:hAnsi="Arial" w:cs="Arial"/>
          <w:sz w:val="24"/>
          <w:szCs w:val="24"/>
        </w:rPr>
        <w:t>La Ley 1787 de 2016 “</w:t>
      </w:r>
      <w:r w:rsidRPr="00F05A4B">
        <w:rPr>
          <w:rFonts w:ascii="Arial" w:eastAsia="Calibri" w:hAnsi="Arial" w:cs="Arial"/>
          <w:i/>
          <w:sz w:val="24"/>
          <w:szCs w:val="24"/>
        </w:rPr>
        <w:t>Por medio de la cual se reglamenta el Acto Legislativo 02 de 2009</w:t>
      </w:r>
      <w:r w:rsidRPr="00F05A4B">
        <w:rPr>
          <w:rFonts w:ascii="Arial" w:eastAsia="Calibri" w:hAnsi="Arial" w:cs="Arial"/>
          <w:sz w:val="24"/>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F05A4B">
        <w:rPr>
          <w:rFonts w:ascii="Arial" w:eastAsia="Calibri" w:hAnsi="Arial" w:cs="Arial"/>
          <w:sz w:val="24"/>
          <w:szCs w:val="24"/>
          <w:u w:val="single"/>
        </w:rPr>
        <w:t xml:space="preserve">siempre y cuando su finalidad </w:t>
      </w:r>
      <w:r w:rsidR="00F10075" w:rsidRPr="00F05A4B">
        <w:rPr>
          <w:rFonts w:ascii="Arial" w:eastAsia="Calibri" w:hAnsi="Arial" w:cs="Arial"/>
          <w:sz w:val="24"/>
          <w:szCs w:val="24"/>
          <w:u w:val="single"/>
        </w:rPr>
        <w:t xml:space="preserve">fuera </w:t>
      </w:r>
      <w:r w:rsidRPr="00F05A4B">
        <w:rPr>
          <w:rFonts w:ascii="Arial" w:eastAsia="Calibri" w:hAnsi="Arial" w:cs="Arial"/>
          <w:sz w:val="24"/>
          <w:szCs w:val="24"/>
          <w:u w:val="single"/>
        </w:rPr>
        <w:t>médica o científica</w:t>
      </w:r>
      <w:r w:rsidRPr="00F05A4B">
        <w:rPr>
          <w:rFonts w:ascii="Arial" w:eastAsia="Calibri" w:hAnsi="Arial" w:cs="Arial"/>
          <w:sz w:val="24"/>
          <w:szCs w:val="24"/>
        </w:rPr>
        <w:t>. En este sentido, la ley a</w:t>
      </w:r>
      <w:r w:rsidR="00452196" w:rsidRPr="00F05A4B">
        <w:rPr>
          <w:rFonts w:ascii="Arial" w:eastAsia="Calibri" w:hAnsi="Arial" w:cs="Arial"/>
          <w:sz w:val="24"/>
          <w:szCs w:val="24"/>
        </w:rPr>
        <w:t>dicionó dos causales nuevas</w:t>
      </w:r>
      <w:r w:rsidR="00F10075" w:rsidRPr="00F05A4B">
        <w:rPr>
          <w:rFonts w:ascii="Arial" w:eastAsia="Calibri" w:hAnsi="Arial" w:cs="Arial"/>
          <w:sz w:val="24"/>
          <w:szCs w:val="24"/>
        </w:rPr>
        <w:t>, en comparación con la redacción del texto constitucional,</w:t>
      </w:r>
      <w:r w:rsidRPr="00F05A4B">
        <w:rPr>
          <w:rFonts w:ascii="Arial" w:eastAsia="Calibri" w:hAnsi="Arial" w:cs="Arial"/>
          <w:sz w:val="24"/>
          <w:szCs w:val="24"/>
        </w:rPr>
        <w:t xml:space="preserve"> bajo las cuales está permitido el porte de cannabis</w:t>
      </w:r>
      <w:r w:rsidR="00F10075" w:rsidRPr="00F05A4B">
        <w:rPr>
          <w:rFonts w:ascii="Arial" w:eastAsia="Calibri" w:hAnsi="Arial" w:cs="Arial"/>
          <w:sz w:val="24"/>
          <w:szCs w:val="24"/>
        </w:rPr>
        <w:t xml:space="preserve">. </w:t>
      </w:r>
      <w:r w:rsidR="0007053A" w:rsidRPr="00F05A4B">
        <w:rPr>
          <w:rFonts w:ascii="Arial" w:eastAsia="Calibri" w:hAnsi="Arial" w:cs="Arial"/>
          <w:sz w:val="24"/>
          <w:szCs w:val="24"/>
        </w:rPr>
        <w:t>En consecuencia,</w:t>
      </w:r>
      <w:r w:rsidR="00732316" w:rsidRPr="00F05A4B">
        <w:rPr>
          <w:rFonts w:ascii="Arial" w:eastAsia="Calibri" w:hAnsi="Arial" w:cs="Arial"/>
          <w:sz w:val="24"/>
          <w:szCs w:val="24"/>
        </w:rPr>
        <w:t xml:space="preserve"> al día de hoy existe</w:t>
      </w:r>
      <w:r w:rsidR="0007053A" w:rsidRPr="00F05A4B">
        <w:rPr>
          <w:rFonts w:ascii="Arial" w:eastAsia="Calibri" w:hAnsi="Arial" w:cs="Arial"/>
          <w:sz w:val="24"/>
          <w:szCs w:val="24"/>
        </w:rPr>
        <w:t xml:space="preserve"> la necesidad de armonizar</w:t>
      </w:r>
      <w:r w:rsidR="00732316" w:rsidRPr="00F05A4B">
        <w:rPr>
          <w:rFonts w:ascii="Arial" w:eastAsia="Calibri" w:hAnsi="Arial" w:cs="Arial"/>
          <w:sz w:val="24"/>
          <w:szCs w:val="24"/>
        </w:rPr>
        <w:t xml:space="preserve"> </w:t>
      </w:r>
      <w:r w:rsidR="0007053A" w:rsidRPr="00F05A4B">
        <w:rPr>
          <w:rFonts w:ascii="Arial" w:eastAsia="Calibri" w:hAnsi="Arial" w:cs="Arial"/>
          <w:sz w:val="24"/>
          <w:szCs w:val="24"/>
        </w:rPr>
        <w:t xml:space="preserve">la </w:t>
      </w:r>
      <w:r w:rsidRPr="00F05A4B">
        <w:rPr>
          <w:rFonts w:ascii="Arial" w:eastAsia="Calibri" w:hAnsi="Arial" w:cs="Arial"/>
          <w:sz w:val="24"/>
          <w:szCs w:val="24"/>
        </w:rPr>
        <w:t>disposición constitucional y el desarrollo legal sobre la materia</w:t>
      </w:r>
      <w:r w:rsidR="0007053A" w:rsidRPr="00F05A4B">
        <w:rPr>
          <w:rFonts w:ascii="Arial" w:eastAsia="Calibri" w:hAnsi="Arial" w:cs="Arial"/>
          <w:sz w:val="24"/>
          <w:szCs w:val="24"/>
        </w:rPr>
        <w:t>.</w:t>
      </w:r>
    </w:p>
    <w:p w14:paraId="5A77A137" w14:textId="77777777" w:rsidR="00F36280" w:rsidRPr="00F05A4B" w:rsidRDefault="00F36280" w:rsidP="00F55092">
      <w:pPr>
        <w:jc w:val="both"/>
        <w:rPr>
          <w:rFonts w:ascii="Arial" w:eastAsia="Calibri" w:hAnsi="Arial" w:cs="Arial"/>
          <w:sz w:val="24"/>
          <w:szCs w:val="24"/>
        </w:rPr>
      </w:pPr>
    </w:p>
    <w:p w14:paraId="3A709E90" w14:textId="710769AA" w:rsidR="00F36280" w:rsidRPr="00F05A4B" w:rsidRDefault="008F207D" w:rsidP="00F55092">
      <w:pPr>
        <w:jc w:val="both"/>
        <w:rPr>
          <w:rFonts w:ascii="Arial" w:eastAsia="Calibri" w:hAnsi="Arial" w:cs="Arial"/>
          <w:sz w:val="24"/>
          <w:szCs w:val="24"/>
        </w:rPr>
      </w:pPr>
      <w:r w:rsidRPr="00F05A4B">
        <w:rPr>
          <w:rFonts w:ascii="Arial" w:eastAsia="Calibri" w:hAnsi="Arial" w:cs="Arial"/>
          <w:sz w:val="24"/>
          <w:szCs w:val="24"/>
        </w:rPr>
        <w:t>De igual forma, es claro que</w:t>
      </w:r>
      <w:r w:rsidR="00F36280" w:rsidRPr="00F05A4B">
        <w:rPr>
          <w:rFonts w:ascii="Arial" w:eastAsia="Calibri" w:hAnsi="Arial" w:cs="Arial"/>
          <w:sz w:val="24"/>
          <w:szCs w:val="24"/>
        </w:rPr>
        <w:t xml:space="preserve"> el artículo 49</w:t>
      </w:r>
      <w:r w:rsidR="00732316" w:rsidRPr="00F05A4B">
        <w:rPr>
          <w:rFonts w:ascii="Arial" w:eastAsia="Calibri" w:hAnsi="Arial" w:cs="Arial"/>
          <w:sz w:val="24"/>
          <w:szCs w:val="24"/>
        </w:rPr>
        <w:t xml:space="preserve"> de la </w:t>
      </w:r>
      <w:r w:rsidR="00977F73" w:rsidRPr="00F05A4B">
        <w:rPr>
          <w:rFonts w:ascii="Arial" w:eastAsia="Calibri" w:hAnsi="Arial" w:cs="Arial"/>
          <w:sz w:val="24"/>
          <w:szCs w:val="24"/>
        </w:rPr>
        <w:t>C</w:t>
      </w:r>
      <w:r w:rsidR="00732316" w:rsidRPr="00F05A4B">
        <w:rPr>
          <w:rFonts w:ascii="Arial" w:eastAsia="Calibri" w:hAnsi="Arial" w:cs="Arial"/>
          <w:sz w:val="24"/>
          <w:szCs w:val="24"/>
        </w:rPr>
        <w:t>onstitución</w:t>
      </w:r>
      <w:r w:rsidR="00F36280" w:rsidRPr="00F05A4B">
        <w:rPr>
          <w:rFonts w:ascii="Arial" w:eastAsia="Calibri" w:hAnsi="Arial" w:cs="Arial"/>
          <w:sz w:val="24"/>
          <w:szCs w:val="24"/>
        </w:rPr>
        <w:t xml:space="preserve"> en su redacción es</w:t>
      </w:r>
      <w:r w:rsidR="0007053A" w:rsidRPr="00F05A4B">
        <w:rPr>
          <w:rFonts w:ascii="Arial" w:eastAsia="Calibri" w:hAnsi="Arial" w:cs="Arial"/>
          <w:sz w:val="24"/>
          <w:szCs w:val="24"/>
        </w:rPr>
        <w:t xml:space="preserve"> </w:t>
      </w:r>
      <w:r w:rsidR="00F36280" w:rsidRPr="00F05A4B">
        <w:rPr>
          <w:rFonts w:ascii="Arial" w:eastAsia="Calibri" w:hAnsi="Arial" w:cs="Arial"/>
          <w:sz w:val="24"/>
          <w:szCs w:val="24"/>
        </w:rPr>
        <w:t xml:space="preserve">contrario a lo dispuesto en las garantías constitucionales que dan contenido a los </w:t>
      </w:r>
      <w:r w:rsidR="00F36280" w:rsidRPr="00F05A4B">
        <w:rPr>
          <w:rFonts w:ascii="Arial" w:eastAsia="Calibri" w:hAnsi="Arial" w:cs="Arial"/>
          <w:sz w:val="24"/>
          <w:szCs w:val="24"/>
        </w:rPr>
        <w:lastRenderedPageBreak/>
        <w:t>derechos fundamentales al libre desarrollo de la personalidad, la igualdad y la salud pública. Lo anterior, en tanto limita</w:t>
      </w:r>
      <w:r w:rsidR="00977F73" w:rsidRPr="00F05A4B">
        <w:rPr>
          <w:rFonts w:ascii="Arial" w:eastAsia="Calibri" w:hAnsi="Arial" w:cs="Arial"/>
          <w:sz w:val="24"/>
          <w:szCs w:val="24"/>
        </w:rPr>
        <w:t>,</w:t>
      </w:r>
      <w:r w:rsidR="00F36280" w:rsidRPr="00F05A4B">
        <w:rPr>
          <w:rFonts w:ascii="Arial" w:eastAsia="Calibri" w:hAnsi="Arial" w:cs="Arial"/>
          <w:sz w:val="24"/>
          <w:szCs w:val="24"/>
        </w:rPr>
        <w:t xml:space="preserve"> sin fundamento constitucional alguno</w:t>
      </w:r>
      <w:r w:rsidR="00977F73" w:rsidRPr="00F05A4B">
        <w:rPr>
          <w:rFonts w:ascii="Arial" w:eastAsia="Calibri" w:hAnsi="Arial" w:cs="Arial"/>
          <w:sz w:val="24"/>
          <w:szCs w:val="24"/>
        </w:rPr>
        <w:t>,</w:t>
      </w:r>
      <w:r w:rsidR="00F36280" w:rsidRPr="00F05A4B">
        <w:rPr>
          <w:rFonts w:ascii="Arial" w:eastAsia="Calibri" w:hAnsi="Arial" w:cs="Arial"/>
          <w:sz w:val="24"/>
          <w:szCs w:val="24"/>
        </w:rPr>
        <w:t xml:space="preserve"> el ejercicio de una actividad que repercute de forma exclusiva en la órbita del individuo.</w:t>
      </w:r>
    </w:p>
    <w:p w14:paraId="0D7FBD27" w14:textId="77777777" w:rsidR="00F36280" w:rsidRPr="00F05A4B" w:rsidRDefault="00F36280" w:rsidP="00F55092">
      <w:pPr>
        <w:jc w:val="both"/>
        <w:rPr>
          <w:rFonts w:ascii="Arial" w:eastAsia="Calibri" w:hAnsi="Arial" w:cs="Arial"/>
          <w:sz w:val="24"/>
          <w:szCs w:val="24"/>
        </w:rPr>
      </w:pPr>
    </w:p>
    <w:p w14:paraId="7888358A" w14:textId="46A871BE" w:rsidR="00F36280" w:rsidRPr="00F05A4B" w:rsidRDefault="00F36280" w:rsidP="00F55092">
      <w:pPr>
        <w:jc w:val="both"/>
        <w:rPr>
          <w:rFonts w:ascii="Arial" w:eastAsia="Calibri" w:hAnsi="Arial" w:cs="Arial"/>
          <w:sz w:val="24"/>
          <w:szCs w:val="24"/>
        </w:rPr>
      </w:pPr>
      <w:r w:rsidRPr="00F05A4B">
        <w:rPr>
          <w:rFonts w:ascii="Arial" w:eastAsia="Calibri" w:hAnsi="Arial" w:cs="Arial"/>
          <w:sz w:val="24"/>
          <w:szCs w:val="24"/>
        </w:rPr>
        <w:t xml:space="preserve">En consecuencia, </w:t>
      </w:r>
      <w:r w:rsidR="008F207D" w:rsidRPr="00F05A4B">
        <w:rPr>
          <w:rFonts w:ascii="Arial" w:eastAsia="Calibri" w:hAnsi="Arial" w:cs="Arial"/>
          <w:sz w:val="24"/>
          <w:szCs w:val="24"/>
        </w:rPr>
        <w:t xml:space="preserve">en nuestro criterio, </w:t>
      </w:r>
      <w:r w:rsidRPr="00F05A4B">
        <w:rPr>
          <w:rFonts w:ascii="Arial" w:eastAsia="Calibri" w:hAnsi="Arial" w:cs="Arial"/>
          <w:sz w:val="24"/>
          <w:szCs w:val="24"/>
        </w:rPr>
        <w:t xml:space="preserve">se requiere de una reforma constitucional que, además del </w:t>
      </w:r>
      <w:r w:rsidR="00452196" w:rsidRPr="00F05A4B">
        <w:rPr>
          <w:rFonts w:ascii="Arial" w:eastAsia="Calibri" w:hAnsi="Arial" w:cs="Arial"/>
          <w:sz w:val="24"/>
          <w:szCs w:val="24"/>
        </w:rPr>
        <w:t>uso</w:t>
      </w:r>
      <w:r w:rsidRPr="00F05A4B">
        <w:rPr>
          <w:rFonts w:ascii="Arial" w:eastAsia="Calibri" w:hAnsi="Arial" w:cs="Arial"/>
          <w:sz w:val="24"/>
          <w:szCs w:val="24"/>
        </w:rPr>
        <w:t xml:space="preserve"> medicinal, permita el uso científico y recreativo del cannabis y sus derivados tomando en consideración las actuales posturas globales en el asunto, propendiendo por la despenalización y regularización del porte y consumo.</w:t>
      </w:r>
    </w:p>
    <w:p w14:paraId="1C7AEE10" w14:textId="77777777" w:rsidR="00F36280" w:rsidRPr="00F05A4B" w:rsidRDefault="00F36280" w:rsidP="00F55092">
      <w:pPr>
        <w:rPr>
          <w:rFonts w:ascii="Arial" w:hAnsi="Arial" w:cs="Arial"/>
          <w:sz w:val="24"/>
          <w:szCs w:val="24"/>
        </w:rPr>
      </w:pPr>
    </w:p>
    <w:p w14:paraId="4CEFCA29" w14:textId="77777777" w:rsidR="008F207D" w:rsidRPr="00F05A4B" w:rsidRDefault="008F207D" w:rsidP="00F55092">
      <w:pPr>
        <w:rPr>
          <w:rFonts w:ascii="Arial" w:hAnsi="Arial" w:cs="Arial"/>
          <w:sz w:val="24"/>
          <w:szCs w:val="24"/>
        </w:rPr>
      </w:pPr>
    </w:p>
    <w:p w14:paraId="330BAA43" w14:textId="77777777" w:rsidR="00F36280" w:rsidRPr="00F05A4B" w:rsidRDefault="00F36280" w:rsidP="00F55092">
      <w:pPr>
        <w:pStyle w:val="Prrafodelista"/>
        <w:numPr>
          <w:ilvl w:val="0"/>
          <w:numId w:val="35"/>
        </w:numPr>
        <w:spacing w:after="0" w:line="240" w:lineRule="auto"/>
        <w:jc w:val="center"/>
        <w:rPr>
          <w:rFonts w:ascii="Arial" w:eastAsia="Calibri" w:hAnsi="Arial" w:cs="Arial"/>
          <w:b/>
          <w:sz w:val="24"/>
          <w:szCs w:val="24"/>
        </w:rPr>
      </w:pPr>
      <w:r w:rsidRPr="00F05A4B">
        <w:rPr>
          <w:rFonts w:ascii="Arial" w:eastAsia="Calibri" w:hAnsi="Arial" w:cs="Arial"/>
          <w:b/>
          <w:sz w:val="24"/>
          <w:szCs w:val="24"/>
        </w:rPr>
        <w:t>ANTECEDENTES</w:t>
      </w:r>
    </w:p>
    <w:p w14:paraId="618FACFF" w14:textId="77777777" w:rsidR="00F36280" w:rsidRPr="00F05A4B" w:rsidRDefault="00F36280" w:rsidP="00F55092">
      <w:pPr>
        <w:pStyle w:val="Prrafodelista"/>
        <w:spacing w:after="0" w:line="240" w:lineRule="auto"/>
        <w:ind w:left="360"/>
        <w:rPr>
          <w:rFonts w:ascii="Arial" w:eastAsia="Calibri" w:hAnsi="Arial" w:cs="Arial"/>
          <w:b/>
          <w:sz w:val="24"/>
          <w:szCs w:val="24"/>
        </w:rPr>
      </w:pPr>
    </w:p>
    <w:p w14:paraId="5FEC989D" w14:textId="77777777" w:rsidR="00F36280" w:rsidRPr="00F05A4B" w:rsidRDefault="00F36280" w:rsidP="00F55092">
      <w:pPr>
        <w:pStyle w:val="Ttulo2"/>
        <w:ind w:left="0"/>
        <w:jc w:val="both"/>
        <w:rPr>
          <w:rFonts w:ascii="Arial" w:eastAsia="Calibri" w:hAnsi="Arial" w:cs="Arial"/>
          <w:sz w:val="24"/>
          <w:szCs w:val="24"/>
        </w:rPr>
      </w:pPr>
      <w:r w:rsidRPr="00F05A4B">
        <w:rPr>
          <w:rFonts w:ascii="Arial" w:eastAsia="Calibri" w:hAnsi="Arial" w:cs="Arial"/>
          <w:sz w:val="24"/>
          <w:szCs w:val="24"/>
        </w:rPr>
        <w:t>3.1 ANTECEDENTES JURÍDICOS Y NORMATIVOS SOBRE LA MATERIA EN COLOMBIA</w:t>
      </w:r>
    </w:p>
    <w:p w14:paraId="12A7A10B" w14:textId="77777777" w:rsidR="00F36280" w:rsidRPr="00F05A4B" w:rsidRDefault="00F36280" w:rsidP="00F55092">
      <w:pPr>
        <w:pStyle w:val="Ttulo2"/>
        <w:ind w:left="0"/>
        <w:jc w:val="both"/>
        <w:rPr>
          <w:rFonts w:ascii="Arial" w:eastAsia="Calibri" w:hAnsi="Arial" w:cs="Arial"/>
          <w:b w:val="0"/>
          <w:sz w:val="24"/>
          <w:szCs w:val="24"/>
        </w:rPr>
      </w:pPr>
    </w:p>
    <w:p w14:paraId="43D9ECF3"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Colombia inició el camino de la regulación del consumo de estupefacientes hace más de 30 años, cuando se expidió la Ley 30 de 1986, “</w:t>
      </w:r>
      <w:r w:rsidRPr="00F05A4B">
        <w:rPr>
          <w:rFonts w:ascii="Arial" w:eastAsia="Calibri" w:hAnsi="Arial" w:cs="Arial"/>
          <w:b w:val="0"/>
          <w:i/>
          <w:sz w:val="24"/>
          <w:szCs w:val="24"/>
        </w:rPr>
        <w:t>Por la cual se adopta el Estatuto Nacional de Estupefacientes y se dictan otras disposiciones</w:t>
      </w:r>
      <w:r w:rsidRPr="00F05A4B">
        <w:rPr>
          <w:rFonts w:ascii="Arial" w:eastAsia="Calibri" w:hAnsi="Arial" w:cs="Arial"/>
          <w:b w:val="0"/>
          <w:sz w:val="24"/>
          <w:szCs w:val="24"/>
        </w:rPr>
        <w:t xml:space="preserve">.” Dicha norma, entre otras cosas, en el literal J del Artículo 2, definió las dosis para uso personal de sustancias estupefacientes, así: </w:t>
      </w:r>
    </w:p>
    <w:p w14:paraId="1A640AD5" w14:textId="77777777" w:rsidR="00F36280" w:rsidRPr="00F05A4B" w:rsidRDefault="00F36280" w:rsidP="00F55092">
      <w:pPr>
        <w:rPr>
          <w:rFonts w:ascii="Arial" w:eastAsia="Calibri" w:hAnsi="Arial" w:cs="Arial"/>
          <w:sz w:val="24"/>
          <w:szCs w:val="24"/>
        </w:rPr>
      </w:pPr>
    </w:p>
    <w:p w14:paraId="0B005E15" w14:textId="77777777" w:rsidR="00F36280" w:rsidRPr="00F05A4B" w:rsidRDefault="00F36280" w:rsidP="00F55092">
      <w:pPr>
        <w:ind w:left="720" w:right="900"/>
        <w:jc w:val="both"/>
        <w:rPr>
          <w:rFonts w:ascii="Arial" w:eastAsia="Calibri" w:hAnsi="Arial" w:cs="Arial"/>
          <w:i/>
          <w:sz w:val="24"/>
          <w:szCs w:val="24"/>
          <w:lang w:val="es-ES_tradnl"/>
        </w:rPr>
      </w:pPr>
      <w:r w:rsidRPr="00F05A4B">
        <w:rPr>
          <w:rFonts w:ascii="Arial" w:hAnsi="Arial" w:cs="Arial"/>
          <w:i/>
          <w:sz w:val="24"/>
          <w:szCs w:val="24"/>
        </w:rPr>
        <w:t>“</w:t>
      </w:r>
      <w:r w:rsidRPr="00F05A4B">
        <w:rPr>
          <w:rFonts w:ascii="Arial" w:eastAsia="Calibri" w:hAnsi="Arial" w:cs="Arial"/>
          <w:i/>
          <w:sz w:val="24"/>
          <w:szCs w:val="24"/>
          <w:lang w:val="es-ES_tradnl"/>
        </w:rPr>
        <w:t>ARTICULO</w:t>
      </w:r>
      <w:r w:rsidRPr="00F05A4B">
        <w:rPr>
          <w:rFonts w:ascii="Arial" w:hAnsi="Arial" w:cs="Arial"/>
          <w:i/>
          <w:sz w:val="24"/>
          <w:szCs w:val="24"/>
        </w:rPr>
        <w:t xml:space="preserve"> </w:t>
      </w:r>
      <w:r w:rsidRPr="00F05A4B">
        <w:rPr>
          <w:rFonts w:ascii="Arial" w:eastAsia="Calibri" w:hAnsi="Arial" w:cs="Arial"/>
          <w:i/>
          <w:sz w:val="24"/>
          <w:szCs w:val="24"/>
          <w:lang w:val="es-ES_tradnl"/>
        </w:rPr>
        <w:t>2o. (Definiciones). Para efectos de la presente Ley se adoptarán las siguientes definiciones:</w:t>
      </w:r>
    </w:p>
    <w:p w14:paraId="2825F0CC" w14:textId="77777777" w:rsidR="00F36280" w:rsidRPr="00F05A4B" w:rsidRDefault="00F36280" w:rsidP="00F55092">
      <w:pPr>
        <w:ind w:left="720" w:right="900"/>
        <w:jc w:val="both"/>
        <w:rPr>
          <w:rFonts w:ascii="Arial" w:eastAsia="Calibri" w:hAnsi="Arial" w:cs="Arial"/>
          <w:i/>
          <w:sz w:val="24"/>
          <w:szCs w:val="24"/>
          <w:lang w:val="es-ES_tradnl"/>
        </w:rPr>
      </w:pPr>
      <w:r w:rsidRPr="00F05A4B">
        <w:rPr>
          <w:rFonts w:ascii="Arial" w:eastAsia="Calibri" w:hAnsi="Arial" w:cs="Arial"/>
          <w:i/>
          <w:sz w:val="24"/>
          <w:szCs w:val="24"/>
          <w:lang w:val="es-ES_tradnl"/>
        </w:rPr>
        <w:t>(…)</w:t>
      </w:r>
    </w:p>
    <w:p w14:paraId="5293792E" w14:textId="77777777" w:rsidR="00F36280" w:rsidRPr="00F05A4B" w:rsidRDefault="00F36280" w:rsidP="00F55092">
      <w:pPr>
        <w:ind w:left="720" w:right="900"/>
        <w:jc w:val="both"/>
        <w:rPr>
          <w:rFonts w:ascii="Arial" w:hAnsi="Arial" w:cs="Arial"/>
          <w:i/>
          <w:sz w:val="24"/>
          <w:szCs w:val="24"/>
        </w:rPr>
      </w:pPr>
      <w:r w:rsidRPr="00F05A4B">
        <w:rPr>
          <w:rFonts w:ascii="Arial" w:eastAsia="Calibri" w:hAnsi="Arial" w:cs="Arial"/>
          <w:i/>
          <w:sz w:val="24"/>
          <w:szCs w:val="24"/>
          <w:lang w:val="es-ES_tradnl"/>
        </w:rPr>
        <w:t>j) Dosis para uso personal: Es la cantidad de estupefacientes que una persona porta o conserva para su propio consumo. Es dosis para uso personal la cantidad de marihuana que no exceda de veinte (20) gramos; la de marihuana hachís</w:t>
      </w:r>
      <w:r w:rsidRPr="00F05A4B">
        <w:rPr>
          <w:rFonts w:ascii="Arial" w:hAnsi="Arial" w:cs="Arial"/>
          <w:i/>
          <w:sz w:val="24"/>
          <w:szCs w:val="24"/>
        </w:rPr>
        <w:t xml:space="preserve"> que no exceda de cinco (5) gramos; de cocaína o de cualquier sustancia a base de cocaína la que no exceda de un (1) gramo, y de metacualona la que no exceda de dos (2) gramos. </w:t>
      </w:r>
    </w:p>
    <w:p w14:paraId="7E9CC6F4" w14:textId="77777777" w:rsidR="00F36280" w:rsidRPr="00F05A4B" w:rsidRDefault="00F36280" w:rsidP="00F55092">
      <w:pPr>
        <w:ind w:left="720" w:right="900"/>
        <w:jc w:val="both"/>
        <w:rPr>
          <w:rFonts w:ascii="Arial" w:hAnsi="Arial" w:cs="Arial"/>
          <w:i/>
          <w:sz w:val="24"/>
          <w:szCs w:val="24"/>
        </w:rPr>
      </w:pPr>
    </w:p>
    <w:p w14:paraId="5F897866" w14:textId="77777777" w:rsidR="00F36280" w:rsidRPr="00F05A4B" w:rsidRDefault="00F36280" w:rsidP="00F55092">
      <w:pPr>
        <w:ind w:left="720" w:right="900"/>
        <w:jc w:val="both"/>
        <w:rPr>
          <w:rFonts w:ascii="Arial" w:hAnsi="Arial" w:cs="Arial"/>
          <w:i/>
          <w:sz w:val="24"/>
          <w:szCs w:val="24"/>
        </w:rPr>
      </w:pPr>
      <w:r w:rsidRPr="00F05A4B">
        <w:rPr>
          <w:rFonts w:ascii="Arial" w:hAnsi="Arial" w:cs="Arial"/>
          <w:i/>
          <w:sz w:val="24"/>
          <w:szCs w:val="24"/>
        </w:rPr>
        <w:t>No es dosis para uso personal, el estupefaciente que la persona lleve consigo, cuando tenga como fin su distribución o venta, cualquiera que sea su cantidad.”</w:t>
      </w:r>
    </w:p>
    <w:p w14:paraId="37DCC157" w14:textId="77777777" w:rsidR="00F36280" w:rsidRPr="00F05A4B" w:rsidRDefault="00F36280" w:rsidP="00F55092">
      <w:pPr>
        <w:rPr>
          <w:rFonts w:ascii="Arial" w:eastAsia="Calibri" w:hAnsi="Arial" w:cs="Arial"/>
          <w:sz w:val="24"/>
          <w:szCs w:val="24"/>
        </w:rPr>
      </w:pPr>
    </w:p>
    <w:p w14:paraId="2AF1E9BE"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 xml:space="preserve">Además, la Ley 30 de 1986, reglamentó en su Artículo 32 lo concerniente a la penalización del cultivo, conservación o financiación de plantaciones </w:t>
      </w:r>
      <w:r w:rsidRPr="00F05A4B">
        <w:rPr>
          <w:rFonts w:ascii="Arial" w:eastAsia="Calibri" w:hAnsi="Arial" w:cs="Arial"/>
          <w:b w:val="0"/>
          <w:i/>
          <w:sz w:val="24"/>
          <w:szCs w:val="24"/>
        </w:rPr>
        <w:t>(número superior a veinte (20) plantas)</w:t>
      </w:r>
      <w:r w:rsidRPr="00F05A4B">
        <w:rPr>
          <w:rFonts w:ascii="Arial" w:eastAsia="Calibri" w:hAnsi="Arial" w:cs="Arial"/>
          <w:b w:val="0"/>
          <w:sz w:val="24"/>
          <w:szCs w:val="24"/>
        </w:rPr>
        <w:t xml:space="preserve"> de marihuana o cualquier otra planta de las que pueda producirse cocaína, morfina, heroína o cualquier otra droga que produzca dependencia, permitiendo tácitamente los cultivos </w:t>
      </w:r>
      <w:r w:rsidRPr="00F05A4B">
        <w:rPr>
          <w:rFonts w:ascii="Arial" w:eastAsia="Calibri" w:hAnsi="Arial" w:cs="Arial"/>
          <w:b w:val="0"/>
          <w:i/>
          <w:sz w:val="24"/>
          <w:szCs w:val="24"/>
        </w:rPr>
        <w:t>(número inferior a veinte (20) plantas)</w:t>
      </w:r>
      <w:r w:rsidRPr="00F05A4B">
        <w:rPr>
          <w:rFonts w:ascii="Arial" w:eastAsia="Calibri" w:hAnsi="Arial" w:cs="Arial"/>
          <w:b w:val="0"/>
          <w:sz w:val="24"/>
          <w:szCs w:val="24"/>
        </w:rPr>
        <w:t xml:space="preserve"> para uso personal. </w:t>
      </w:r>
    </w:p>
    <w:p w14:paraId="1DA0EE46" w14:textId="77777777" w:rsidR="00F36280" w:rsidRPr="00F05A4B" w:rsidRDefault="00F36280" w:rsidP="00F55092">
      <w:pPr>
        <w:rPr>
          <w:rFonts w:ascii="Arial" w:eastAsia="Calibri" w:hAnsi="Arial" w:cs="Arial"/>
          <w:sz w:val="24"/>
          <w:szCs w:val="24"/>
        </w:rPr>
      </w:pPr>
    </w:p>
    <w:p w14:paraId="41E1BB83"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F05A4B">
        <w:rPr>
          <w:rFonts w:ascii="Arial" w:eastAsia="Calibri" w:hAnsi="Arial" w:cs="Arial"/>
          <w:b w:val="0"/>
          <w:i/>
          <w:sz w:val="24"/>
          <w:szCs w:val="24"/>
        </w:rPr>
        <w:t>(Estatuto Nacional de Estupefacientes)</w:t>
      </w:r>
      <w:r w:rsidRPr="00F05A4B">
        <w:rPr>
          <w:rFonts w:ascii="Arial" w:eastAsia="Calibri" w:hAnsi="Arial" w:cs="Arial"/>
          <w:b w:val="0"/>
          <w:sz w:val="24"/>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0BE36064" w14:textId="77777777" w:rsidR="00F36280" w:rsidRPr="00F05A4B" w:rsidRDefault="00F36280" w:rsidP="00F55092">
      <w:pPr>
        <w:pStyle w:val="Ttulo2"/>
        <w:ind w:left="0"/>
        <w:jc w:val="both"/>
        <w:rPr>
          <w:rFonts w:ascii="Arial" w:eastAsia="Calibri" w:hAnsi="Arial" w:cs="Arial"/>
          <w:b w:val="0"/>
          <w:sz w:val="24"/>
          <w:szCs w:val="24"/>
        </w:rPr>
      </w:pPr>
    </w:p>
    <w:p w14:paraId="2CF5A0F7"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662CE5E4" w14:textId="77777777" w:rsidR="00F36280" w:rsidRPr="00F05A4B" w:rsidRDefault="00F36280" w:rsidP="00F55092">
      <w:pPr>
        <w:rPr>
          <w:rFonts w:ascii="Arial" w:eastAsia="Calibri" w:hAnsi="Arial" w:cs="Arial"/>
          <w:sz w:val="24"/>
          <w:szCs w:val="24"/>
        </w:rPr>
      </w:pPr>
    </w:p>
    <w:p w14:paraId="637C4493" w14:textId="6CE4587C"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En el año 2009</w:t>
      </w:r>
      <w:r w:rsidR="000E548B" w:rsidRPr="00F05A4B">
        <w:rPr>
          <w:rFonts w:ascii="Arial" w:eastAsia="Calibri" w:hAnsi="Arial" w:cs="Arial"/>
          <w:b w:val="0"/>
          <w:sz w:val="24"/>
          <w:szCs w:val="24"/>
        </w:rPr>
        <w:t>,</w:t>
      </w:r>
      <w:r w:rsidRPr="00F05A4B">
        <w:rPr>
          <w:rFonts w:ascii="Arial" w:eastAsia="Calibri" w:hAnsi="Arial" w:cs="Arial"/>
          <w:b w:val="0"/>
          <w:sz w:val="24"/>
          <w:szCs w:val="24"/>
        </w:rPr>
        <w:t xml:space="preserve"> se realizaron en el país varios esfuerzos por penalizar el consumo recreativo,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315FB90F" w14:textId="77777777" w:rsidR="00F36280" w:rsidRPr="00F05A4B" w:rsidRDefault="00F36280" w:rsidP="00F55092">
      <w:pPr>
        <w:pStyle w:val="Ttulo2"/>
        <w:ind w:left="0"/>
        <w:jc w:val="both"/>
        <w:rPr>
          <w:rFonts w:ascii="Arial" w:eastAsia="Calibri" w:hAnsi="Arial" w:cs="Arial"/>
          <w:b w:val="0"/>
          <w:sz w:val="24"/>
          <w:szCs w:val="24"/>
        </w:rPr>
      </w:pPr>
    </w:p>
    <w:p w14:paraId="404B3F61"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21CB384B" w14:textId="77777777" w:rsidR="00F36280" w:rsidRPr="00F05A4B" w:rsidRDefault="00F36280" w:rsidP="00F55092">
      <w:pPr>
        <w:pStyle w:val="Ttulo2"/>
        <w:ind w:left="0"/>
        <w:jc w:val="both"/>
        <w:rPr>
          <w:rFonts w:ascii="Arial" w:eastAsia="Calibri" w:hAnsi="Arial" w:cs="Arial"/>
          <w:b w:val="0"/>
          <w:sz w:val="24"/>
          <w:szCs w:val="24"/>
        </w:rPr>
      </w:pPr>
    </w:p>
    <w:p w14:paraId="0C3B56BD" w14:textId="77777777" w:rsidR="00F36280" w:rsidRPr="00F05A4B" w:rsidRDefault="00F36280" w:rsidP="00F55092">
      <w:pPr>
        <w:pStyle w:val="Ttulo2"/>
        <w:ind w:left="0"/>
        <w:jc w:val="both"/>
        <w:rPr>
          <w:rFonts w:ascii="Arial" w:eastAsia="Calibri" w:hAnsi="Arial" w:cs="Arial"/>
          <w:b w:val="0"/>
          <w:i/>
          <w:sz w:val="24"/>
          <w:szCs w:val="24"/>
        </w:rPr>
      </w:pPr>
      <w:r w:rsidRPr="00F05A4B">
        <w:rPr>
          <w:rFonts w:ascii="Arial" w:eastAsia="Calibri" w:hAnsi="Arial" w:cs="Arial"/>
          <w:b w:val="0"/>
          <w:sz w:val="24"/>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5B7B3AB2" w14:textId="77777777" w:rsidR="00F36280" w:rsidRPr="00F05A4B" w:rsidRDefault="00F36280" w:rsidP="00F55092">
      <w:pPr>
        <w:rPr>
          <w:rFonts w:ascii="Arial" w:eastAsia="Calibri" w:hAnsi="Arial" w:cs="Arial"/>
          <w:b/>
          <w:sz w:val="24"/>
          <w:szCs w:val="24"/>
        </w:rPr>
      </w:pPr>
    </w:p>
    <w:p w14:paraId="218794AF"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En aras de desarrollar la prohibición constitucional, en el año 2016 se discutió y aprobó la Ley 1787,</w:t>
      </w:r>
      <w:r w:rsidRPr="00F05A4B">
        <w:rPr>
          <w:rFonts w:ascii="Arial" w:eastAsia="Calibri" w:hAnsi="Arial" w:cs="Arial"/>
          <w:b w:val="0"/>
          <w:bCs/>
          <w:i/>
          <w:iCs/>
          <w:sz w:val="24"/>
          <w:szCs w:val="24"/>
        </w:rPr>
        <w:t xml:space="preserve"> “Por medio de la cual se reglamenta el Acto Legislativo 02 de 2009.”</w:t>
      </w:r>
      <w:r w:rsidRPr="00F05A4B">
        <w:rPr>
          <w:rFonts w:ascii="Arial" w:eastAsia="Calibri" w:hAnsi="Arial" w:cs="Arial"/>
          <w:b w:val="0"/>
          <w:sz w:val="24"/>
          <w:szCs w:val="24"/>
        </w:rPr>
        <w:t xml:space="preserve">, </w:t>
      </w:r>
      <w:r w:rsidRPr="00F05A4B">
        <w:rPr>
          <w:rFonts w:ascii="Arial" w:eastAsia="Calibri" w:hAnsi="Arial" w:cs="Arial"/>
          <w:b w:val="0"/>
          <w:i/>
          <w:sz w:val="24"/>
          <w:szCs w:val="24"/>
        </w:rPr>
        <w:t>(desarrollada mediante el Decreto 0613 de 2017)</w:t>
      </w:r>
      <w:r w:rsidRPr="00F05A4B">
        <w:rPr>
          <w:rFonts w:ascii="Arial" w:eastAsia="Calibri" w:hAnsi="Arial" w:cs="Arial"/>
          <w:b w:val="0"/>
          <w:sz w:val="24"/>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F05A4B">
        <w:rPr>
          <w:rFonts w:ascii="Arial" w:eastAsia="Calibri" w:hAnsi="Arial" w:cs="Arial"/>
          <w:b w:val="0"/>
          <w:i/>
          <w:sz w:val="24"/>
          <w:szCs w:val="24"/>
        </w:rPr>
        <w:t>“el acceso seguro e informado al uso médico y científico del cannabis y sus derivados”</w:t>
      </w:r>
      <w:r w:rsidRPr="00F05A4B">
        <w:rPr>
          <w:rFonts w:ascii="Arial" w:eastAsia="Calibri" w:hAnsi="Arial" w:cs="Arial"/>
          <w:b w:val="0"/>
          <w:sz w:val="24"/>
          <w:szCs w:val="24"/>
        </w:rPr>
        <w:t>, referencia que de entrada muestra una adición a lo previsto en el artículo 29 constitucional: el uso científico.</w:t>
      </w:r>
    </w:p>
    <w:p w14:paraId="695FC521" w14:textId="77777777" w:rsidR="00F36280" w:rsidRPr="00F05A4B" w:rsidRDefault="00F36280" w:rsidP="00F55092">
      <w:pPr>
        <w:pStyle w:val="Ttulo2"/>
        <w:jc w:val="both"/>
        <w:rPr>
          <w:rFonts w:ascii="Arial" w:eastAsia="Calibri" w:hAnsi="Arial" w:cs="Arial"/>
          <w:b w:val="0"/>
          <w:sz w:val="24"/>
          <w:szCs w:val="24"/>
        </w:rPr>
      </w:pPr>
    </w:p>
    <w:p w14:paraId="1A1A6EBD" w14:textId="056FE7CB" w:rsidR="00F36280" w:rsidRPr="00F05A4B" w:rsidRDefault="0007053A"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Al revisar</w:t>
      </w:r>
      <w:r w:rsidR="00F36280" w:rsidRPr="00F05A4B">
        <w:rPr>
          <w:rFonts w:ascii="Arial" w:eastAsia="Calibri" w:hAnsi="Arial" w:cs="Arial"/>
          <w:b w:val="0"/>
          <w:sz w:val="24"/>
          <w:szCs w:val="24"/>
        </w:rPr>
        <w:t xml:space="preserve"> el resto de la norma se evidencia</w:t>
      </w:r>
      <w:r w:rsidR="008F207D" w:rsidRPr="00F05A4B">
        <w:rPr>
          <w:rFonts w:ascii="Arial" w:eastAsia="Calibri" w:hAnsi="Arial" w:cs="Arial"/>
          <w:b w:val="0"/>
          <w:sz w:val="24"/>
          <w:szCs w:val="24"/>
        </w:rPr>
        <w:t xml:space="preserve"> </w:t>
      </w:r>
      <w:r w:rsidR="00F36280" w:rsidRPr="00F05A4B">
        <w:rPr>
          <w:rFonts w:ascii="Arial" w:eastAsia="Calibri" w:hAnsi="Arial" w:cs="Arial"/>
          <w:b w:val="0"/>
          <w:sz w:val="24"/>
          <w:szCs w:val="24"/>
        </w:rPr>
        <w:t xml:space="preserve">que se hace referencia a usos medicinales del cannabis, previsión que no necesariamente se enmarca en la referencia del artículo 49 de la Constitución que se refiere exclusivamente a la tenencia de una fórmula médica. </w:t>
      </w:r>
    </w:p>
    <w:p w14:paraId="031703C8" w14:textId="77777777" w:rsidR="00F36280" w:rsidRPr="00F05A4B" w:rsidRDefault="00F36280" w:rsidP="00F55092">
      <w:pPr>
        <w:pStyle w:val="Ttulo2"/>
        <w:jc w:val="both"/>
        <w:rPr>
          <w:rFonts w:ascii="Arial" w:eastAsia="Calibri" w:hAnsi="Arial" w:cs="Arial"/>
          <w:b w:val="0"/>
          <w:sz w:val="24"/>
          <w:szCs w:val="24"/>
        </w:rPr>
      </w:pPr>
    </w:p>
    <w:p w14:paraId="24F8CF33" w14:textId="1E789F16"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 xml:space="preserve">De lo anterior se </w:t>
      </w:r>
      <w:r w:rsidR="008F207D" w:rsidRPr="00F05A4B">
        <w:rPr>
          <w:rFonts w:ascii="Arial" w:eastAsia="Calibri" w:hAnsi="Arial" w:cs="Arial"/>
          <w:b w:val="0"/>
          <w:sz w:val="24"/>
          <w:szCs w:val="24"/>
        </w:rPr>
        <w:t>colige entonces</w:t>
      </w:r>
      <w:r w:rsidRPr="00F05A4B">
        <w:rPr>
          <w:rFonts w:ascii="Arial" w:eastAsia="Calibri" w:hAnsi="Arial" w:cs="Arial"/>
          <w:b w:val="0"/>
          <w:sz w:val="24"/>
          <w:szCs w:val="24"/>
        </w:rPr>
        <w:t xml:space="preserve"> que la Ley 1787 de 2016 introdujo dos excepciones adicionales al porte de cannabis, aumentando el margen de la prohibición dispuesta por el Acto Legislativo 02 de 2009.</w:t>
      </w:r>
    </w:p>
    <w:p w14:paraId="78318C34" w14:textId="77777777" w:rsidR="00F36280" w:rsidRPr="00F05A4B" w:rsidRDefault="00F36280" w:rsidP="00F55092">
      <w:pPr>
        <w:pStyle w:val="Ttulo2"/>
        <w:jc w:val="both"/>
        <w:rPr>
          <w:rFonts w:ascii="Arial" w:eastAsia="Calibri" w:hAnsi="Arial" w:cs="Arial"/>
          <w:b w:val="0"/>
          <w:sz w:val="24"/>
          <w:szCs w:val="24"/>
        </w:rPr>
      </w:pPr>
    </w:p>
    <w:p w14:paraId="1FDC8BF9" w14:textId="1607AC64"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 xml:space="preserve">En lo que respecta al uso recreativo, la Ley 1801 de 2016 </w:t>
      </w:r>
      <w:r w:rsidRPr="00F05A4B">
        <w:rPr>
          <w:rFonts w:ascii="Arial" w:eastAsia="Calibri" w:hAnsi="Arial" w:cs="Arial"/>
          <w:b w:val="0"/>
          <w:i/>
          <w:sz w:val="24"/>
          <w:szCs w:val="24"/>
        </w:rPr>
        <w:t>“Por la cual se expide el Código Nacional de Policía y Convivencia”</w:t>
      </w:r>
      <w:r w:rsidRPr="00F05A4B">
        <w:rPr>
          <w:rFonts w:ascii="Arial" w:eastAsia="Calibri" w:hAnsi="Arial" w:cs="Arial"/>
          <w:b w:val="0"/>
          <w:sz w:val="24"/>
          <w:szCs w:val="24"/>
        </w:rPr>
        <w:t>, dispuso en su artículo 33 la prohibición al consumo de drogas de uso ilícito, en aras de preservar la tranquilidad, y las relaciones respetuosas de las personas y la comunidad.</w:t>
      </w:r>
    </w:p>
    <w:p w14:paraId="6AF28447" w14:textId="77777777" w:rsidR="00F36280" w:rsidRPr="00F05A4B" w:rsidRDefault="00F36280" w:rsidP="00F55092">
      <w:pPr>
        <w:rPr>
          <w:rFonts w:ascii="Arial" w:eastAsia="Calibri" w:hAnsi="Arial" w:cs="Arial"/>
          <w:sz w:val="24"/>
          <w:szCs w:val="24"/>
        </w:rPr>
      </w:pPr>
    </w:p>
    <w:p w14:paraId="74C99A2A" w14:textId="7B4F9D9F" w:rsidR="00F36280" w:rsidRPr="00F05A4B" w:rsidRDefault="0007053A" w:rsidP="00F55092">
      <w:pPr>
        <w:jc w:val="both"/>
        <w:rPr>
          <w:rFonts w:ascii="Arial" w:eastAsia="Calibri" w:hAnsi="Arial" w:cs="Arial"/>
          <w:sz w:val="24"/>
          <w:szCs w:val="24"/>
        </w:rPr>
      </w:pPr>
      <w:r w:rsidRPr="00F05A4B">
        <w:rPr>
          <w:rFonts w:ascii="Arial" w:eastAsia="Calibri" w:hAnsi="Arial" w:cs="Arial"/>
          <w:sz w:val="24"/>
          <w:szCs w:val="24"/>
        </w:rPr>
        <w:t>Esta norma</w:t>
      </w:r>
      <w:r w:rsidR="00F36280" w:rsidRPr="00F05A4B">
        <w:rPr>
          <w:rFonts w:ascii="Arial" w:eastAsia="Calibri" w:hAnsi="Arial" w:cs="Arial"/>
          <w:sz w:val="24"/>
          <w:szCs w:val="24"/>
        </w:rPr>
        <w:t xml:space="preserve"> implementó un proceso abreviado en</w:t>
      </w:r>
      <w:r w:rsidR="008F207D" w:rsidRPr="00F05A4B">
        <w:rPr>
          <w:rFonts w:ascii="Arial" w:eastAsia="Calibri" w:hAnsi="Arial" w:cs="Arial"/>
          <w:sz w:val="24"/>
          <w:szCs w:val="24"/>
        </w:rPr>
        <w:t>caminado a</w:t>
      </w:r>
      <w:r w:rsidR="00F36280" w:rsidRPr="00F05A4B">
        <w:rPr>
          <w:rFonts w:ascii="Arial" w:eastAsia="Calibri" w:hAnsi="Arial" w:cs="Arial"/>
          <w:sz w:val="24"/>
          <w:szCs w:val="24"/>
        </w:rPr>
        <w:t xml:space="preserve"> sancionar a las personas que consumieran </w:t>
      </w:r>
      <w:r w:rsidRPr="00F05A4B">
        <w:rPr>
          <w:rFonts w:ascii="Arial" w:eastAsia="Calibri" w:hAnsi="Arial" w:cs="Arial"/>
          <w:sz w:val="24"/>
          <w:szCs w:val="24"/>
        </w:rPr>
        <w:t>dichas</w:t>
      </w:r>
      <w:r w:rsidR="00F36280" w:rsidRPr="00F05A4B">
        <w:rPr>
          <w:rFonts w:ascii="Arial" w:eastAsia="Calibri" w:hAnsi="Arial" w:cs="Arial"/>
          <w:sz w:val="24"/>
          <w:szCs w:val="24"/>
        </w:rPr>
        <w:t xml:space="preserve"> sustancias, el cual contraría las garantías o la imparcialidad necesaria para determinar la sanción a imponer con el agravante de que genera una serie de estigmatizaciones en contra de los consumidores.</w:t>
      </w:r>
    </w:p>
    <w:p w14:paraId="752C3F8E" w14:textId="77777777" w:rsidR="00F36280" w:rsidRPr="00F05A4B" w:rsidRDefault="00F36280" w:rsidP="00F55092">
      <w:pPr>
        <w:rPr>
          <w:rFonts w:ascii="Arial" w:eastAsia="Calibri" w:hAnsi="Arial" w:cs="Arial"/>
          <w:sz w:val="24"/>
          <w:szCs w:val="24"/>
        </w:rPr>
      </w:pPr>
    </w:p>
    <w:p w14:paraId="3D8F25FE" w14:textId="0F238D7A" w:rsidR="00F36280" w:rsidRPr="00F05A4B" w:rsidRDefault="0007053A"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No obstante</w:t>
      </w:r>
      <w:r w:rsidR="000E548B" w:rsidRPr="00F05A4B">
        <w:rPr>
          <w:rFonts w:ascii="Arial" w:eastAsia="Calibri" w:hAnsi="Arial" w:cs="Arial"/>
          <w:b w:val="0"/>
          <w:sz w:val="24"/>
          <w:szCs w:val="24"/>
        </w:rPr>
        <w:t>,</w:t>
      </w:r>
      <w:r w:rsidRPr="00F05A4B">
        <w:rPr>
          <w:rFonts w:ascii="Arial" w:eastAsia="Calibri" w:hAnsi="Arial" w:cs="Arial"/>
          <w:b w:val="0"/>
          <w:sz w:val="24"/>
          <w:szCs w:val="24"/>
        </w:rPr>
        <w:t xml:space="preserve"> todos los anteriores giros normativos, la jurisprudencia ha mantenido</w:t>
      </w:r>
      <w:r w:rsidR="00F36280" w:rsidRPr="00F05A4B">
        <w:rPr>
          <w:rFonts w:ascii="Arial" w:eastAsia="Calibri" w:hAnsi="Arial" w:cs="Arial"/>
          <w:b w:val="0"/>
          <w:sz w:val="24"/>
          <w:szCs w:val="24"/>
        </w:rPr>
        <w:t xml:space="preserve"> la postura desarrollada </w:t>
      </w:r>
      <w:r w:rsidRPr="00F05A4B">
        <w:rPr>
          <w:rFonts w:ascii="Arial" w:eastAsia="Calibri" w:hAnsi="Arial" w:cs="Arial"/>
          <w:b w:val="0"/>
          <w:sz w:val="24"/>
          <w:szCs w:val="24"/>
        </w:rPr>
        <w:t>desde</w:t>
      </w:r>
      <w:r w:rsidR="00F36280" w:rsidRPr="00F05A4B">
        <w:rPr>
          <w:rFonts w:ascii="Arial" w:eastAsia="Calibri" w:hAnsi="Arial" w:cs="Arial"/>
          <w:b w:val="0"/>
          <w:sz w:val="24"/>
          <w:szCs w:val="24"/>
        </w:rPr>
        <w:t xml:space="preserve"> el año 1994, como se evidenció el 9 de marzo de 2016, cuando</w:t>
      </w:r>
      <w:r w:rsidR="00DC49AD" w:rsidRPr="00F05A4B">
        <w:rPr>
          <w:rFonts w:ascii="Arial" w:eastAsia="Calibri" w:hAnsi="Arial" w:cs="Arial"/>
          <w:b w:val="0"/>
          <w:sz w:val="24"/>
          <w:szCs w:val="24"/>
        </w:rPr>
        <w:t xml:space="preserve"> </w:t>
      </w:r>
      <w:r w:rsidR="00F36280" w:rsidRPr="00F05A4B">
        <w:rPr>
          <w:rFonts w:ascii="Arial" w:eastAsia="Calibri" w:hAnsi="Arial" w:cs="Arial"/>
          <w:b w:val="0"/>
          <w:sz w:val="24"/>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personal (20 gramos), siempre que: 1) esta fuera para su consumo personal o aprovisionamiento y 2) no existieran indicios de tráfico de sustancias de uso ilícito. </w:t>
      </w:r>
    </w:p>
    <w:p w14:paraId="37B16168" w14:textId="77777777" w:rsidR="00F36280" w:rsidRPr="00F05A4B" w:rsidRDefault="00F36280" w:rsidP="00F55092">
      <w:pPr>
        <w:pStyle w:val="Ttulo2"/>
        <w:ind w:left="0"/>
        <w:jc w:val="both"/>
        <w:rPr>
          <w:rFonts w:ascii="Arial" w:eastAsia="Calibri" w:hAnsi="Arial" w:cs="Arial"/>
          <w:b w:val="0"/>
          <w:sz w:val="24"/>
          <w:szCs w:val="24"/>
        </w:rPr>
      </w:pPr>
    </w:p>
    <w:p w14:paraId="2AF2AE58" w14:textId="55D2CE98"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En el año 2018 se retomó la prohibición constitucional y</w:t>
      </w:r>
      <w:r w:rsidR="00977F73" w:rsidRPr="00F05A4B">
        <w:rPr>
          <w:rFonts w:ascii="Arial" w:eastAsia="Calibri" w:hAnsi="Arial" w:cs="Arial"/>
          <w:b w:val="0"/>
          <w:sz w:val="24"/>
          <w:szCs w:val="24"/>
        </w:rPr>
        <w:t>,</w:t>
      </w:r>
      <w:r w:rsidRPr="00F05A4B">
        <w:rPr>
          <w:rFonts w:ascii="Arial" w:eastAsia="Calibri" w:hAnsi="Arial" w:cs="Arial"/>
          <w:b w:val="0"/>
          <w:sz w:val="24"/>
          <w:szCs w:val="24"/>
        </w:rPr>
        <w:t xml:space="preserve"> en desarrollo de la Ley 1801 de 2016, el Decreto 1844 prohibió el porte y consumo de la dosis mínima y facultó a la Policía Nacional para adelantar el decomiso de las sustancias estupefacientes, así como para la imposición de una sanción.  </w:t>
      </w:r>
    </w:p>
    <w:p w14:paraId="134C7497" w14:textId="77777777" w:rsidR="00977F73" w:rsidRPr="00F05A4B" w:rsidRDefault="00977F73" w:rsidP="00F55092">
      <w:pPr>
        <w:rPr>
          <w:rFonts w:ascii="Arial" w:eastAsia="Calibri" w:hAnsi="Arial" w:cs="Arial"/>
          <w:sz w:val="24"/>
          <w:szCs w:val="24"/>
        </w:rPr>
      </w:pPr>
    </w:p>
    <w:p w14:paraId="3B173E76" w14:textId="77777777"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Finalmente, y de forma reciente, la Corte Constitucional, en comunicado del 6 de junio de 2019, informó que a través de la sentencia C-253 de 2019, declaró inexequible las “</w:t>
      </w:r>
      <w:r w:rsidRPr="00F05A4B">
        <w:rPr>
          <w:rFonts w:ascii="Arial" w:eastAsia="Calibri" w:hAnsi="Arial" w:cs="Arial"/>
          <w:b w:val="0"/>
          <w:i/>
          <w:sz w:val="24"/>
          <w:szCs w:val="24"/>
        </w:rPr>
        <w:t>normas legales que establecen una prohibición genérica y amplia al consumo de bebidas alcohólicas y sustancias psicoactivas en el espacio público y en espacios privados abiertos al público o que trascienden a lo público</w:t>
      </w:r>
      <w:r w:rsidRPr="00F05A4B">
        <w:rPr>
          <w:rStyle w:val="Refdenotaalpie"/>
          <w:rFonts w:ascii="Arial" w:eastAsia="Calibri" w:hAnsi="Arial" w:cs="Arial"/>
          <w:b w:val="0"/>
          <w:i/>
          <w:sz w:val="24"/>
          <w:szCs w:val="24"/>
        </w:rPr>
        <w:footnoteReference w:id="5"/>
      </w:r>
      <w:r w:rsidRPr="00F05A4B">
        <w:rPr>
          <w:rFonts w:ascii="Arial" w:eastAsia="Calibri" w:hAnsi="Arial" w:cs="Arial"/>
          <w:b w:val="0"/>
          <w:i/>
          <w:sz w:val="24"/>
          <w:szCs w:val="24"/>
        </w:rPr>
        <w:t xml:space="preserve">”. </w:t>
      </w:r>
      <w:r w:rsidRPr="00F05A4B">
        <w:rPr>
          <w:rFonts w:ascii="Arial" w:eastAsia="Calibri" w:hAnsi="Arial" w:cs="Arial"/>
          <w:b w:val="0"/>
          <w:sz w:val="24"/>
          <w:szCs w:val="24"/>
        </w:rPr>
        <w:t xml:space="preserve">Si bien la sentencia no ha sido publicada, en el comunicado refiere la Corte que </w:t>
      </w:r>
      <w:r w:rsidRPr="00F05A4B">
        <w:rPr>
          <w:rFonts w:ascii="Arial" w:eastAsia="Calibri" w:hAnsi="Arial" w:cs="Arial"/>
          <w:b w:val="0"/>
          <w:i/>
          <w:sz w:val="24"/>
          <w:szCs w:val="24"/>
        </w:rPr>
        <w:t xml:space="preserve">“el texto legal de las reglas acusadas tiene unas amplias prohibiciones que impactan el ejercicio del derecho al libre desarrollo de la personalidad de forma considerable”, </w:t>
      </w:r>
      <w:r w:rsidRPr="00F05A4B">
        <w:rPr>
          <w:rFonts w:ascii="Arial" w:eastAsia="Calibri" w:hAnsi="Arial" w:cs="Arial"/>
          <w:b w:val="0"/>
          <w:sz w:val="24"/>
          <w:szCs w:val="24"/>
        </w:rPr>
        <w:t xml:space="preserve">afirmación que se enmarca en la ya enunciada línea jurisprudencial que identifica estos asuntos como propios de la órbita del individuo. </w:t>
      </w:r>
    </w:p>
    <w:p w14:paraId="05C3FC34" w14:textId="77777777" w:rsidR="00F36280" w:rsidRPr="00F05A4B" w:rsidRDefault="00F36280" w:rsidP="00F55092">
      <w:pPr>
        <w:jc w:val="both"/>
        <w:rPr>
          <w:rFonts w:ascii="Arial" w:eastAsia="Calibri" w:hAnsi="Arial" w:cs="Arial"/>
          <w:sz w:val="24"/>
          <w:szCs w:val="24"/>
        </w:rPr>
      </w:pPr>
    </w:p>
    <w:p w14:paraId="28C5F346" w14:textId="77777777" w:rsidR="008F207D" w:rsidRPr="00F05A4B" w:rsidRDefault="00F36280" w:rsidP="00F55092">
      <w:pPr>
        <w:jc w:val="both"/>
        <w:rPr>
          <w:rFonts w:ascii="Arial" w:eastAsia="Calibri" w:hAnsi="Arial" w:cs="Arial"/>
          <w:sz w:val="24"/>
          <w:szCs w:val="24"/>
        </w:rPr>
      </w:pPr>
      <w:r w:rsidRPr="00F05A4B">
        <w:rPr>
          <w:rFonts w:ascii="Arial" w:eastAsia="Calibri" w:hAnsi="Arial" w:cs="Arial"/>
          <w:sz w:val="24"/>
          <w:szCs w:val="24"/>
        </w:rPr>
        <w:t>Esto nos lleva a concluir que en Colombia han existido dos</w:t>
      </w:r>
      <w:r w:rsidR="0007053A" w:rsidRPr="00F05A4B">
        <w:rPr>
          <w:rFonts w:ascii="Arial" w:eastAsia="Calibri" w:hAnsi="Arial" w:cs="Arial"/>
          <w:sz w:val="24"/>
          <w:szCs w:val="24"/>
        </w:rPr>
        <w:t xml:space="preserve"> claras tendencias;</w:t>
      </w:r>
      <w:r w:rsidRPr="00F05A4B">
        <w:rPr>
          <w:rFonts w:ascii="Arial" w:eastAsia="Calibri" w:hAnsi="Arial" w:cs="Arial"/>
          <w:sz w:val="24"/>
          <w:szCs w:val="24"/>
        </w:rPr>
        <w:t xml:space="preserve"> una prohibicionista</w:t>
      </w:r>
      <w:r w:rsidR="0007053A" w:rsidRPr="00F05A4B">
        <w:rPr>
          <w:rFonts w:ascii="Arial" w:eastAsia="Calibri" w:hAnsi="Arial" w:cs="Arial"/>
          <w:sz w:val="24"/>
          <w:szCs w:val="24"/>
        </w:rPr>
        <w:t xml:space="preserve"> y otra</w:t>
      </w:r>
      <w:r w:rsidR="008F207D" w:rsidRPr="00F05A4B">
        <w:rPr>
          <w:rFonts w:ascii="Arial" w:eastAsia="Calibri" w:hAnsi="Arial" w:cs="Arial"/>
          <w:sz w:val="24"/>
          <w:szCs w:val="24"/>
        </w:rPr>
        <w:t>,</w:t>
      </w:r>
      <w:r w:rsidR="0007053A" w:rsidRPr="00F05A4B">
        <w:rPr>
          <w:rFonts w:ascii="Arial" w:eastAsia="Calibri" w:hAnsi="Arial" w:cs="Arial"/>
          <w:sz w:val="24"/>
          <w:szCs w:val="24"/>
        </w:rPr>
        <w:t xml:space="preserve"> </w:t>
      </w:r>
      <w:r w:rsidRPr="00F05A4B">
        <w:rPr>
          <w:rFonts w:ascii="Arial" w:eastAsia="Calibri" w:hAnsi="Arial" w:cs="Arial"/>
          <w:sz w:val="24"/>
          <w:szCs w:val="24"/>
        </w:rPr>
        <w:t xml:space="preserve">reivindicatoria de las libertades individuales. </w:t>
      </w:r>
      <w:r w:rsidR="0007053A" w:rsidRPr="00F05A4B">
        <w:rPr>
          <w:rFonts w:ascii="Arial" w:eastAsia="Calibri" w:hAnsi="Arial" w:cs="Arial"/>
          <w:sz w:val="24"/>
          <w:szCs w:val="24"/>
        </w:rPr>
        <w:t>En síntesis, l</w:t>
      </w:r>
      <w:r w:rsidRPr="00F05A4B">
        <w:rPr>
          <w:rFonts w:ascii="Arial" w:eastAsia="Calibri" w:hAnsi="Arial" w:cs="Arial"/>
          <w:sz w:val="24"/>
          <w:szCs w:val="24"/>
        </w:rPr>
        <w:t xml:space="preserve">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58F36C6D" w14:textId="77777777" w:rsidR="008F207D" w:rsidRPr="00F05A4B" w:rsidRDefault="008F207D" w:rsidP="00F55092">
      <w:pPr>
        <w:jc w:val="both"/>
        <w:rPr>
          <w:rFonts w:ascii="Arial" w:eastAsia="Calibri" w:hAnsi="Arial" w:cs="Arial"/>
          <w:sz w:val="24"/>
          <w:szCs w:val="24"/>
        </w:rPr>
      </w:pPr>
    </w:p>
    <w:p w14:paraId="4AAF075E" w14:textId="6CDDCA3A" w:rsidR="00F36280" w:rsidRPr="00F05A4B" w:rsidRDefault="0007053A" w:rsidP="00F55092">
      <w:pPr>
        <w:jc w:val="both"/>
        <w:rPr>
          <w:rFonts w:ascii="Arial" w:eastAsia="Calibri" w:hAnsi="Arial" w:cs="Arial"/>
          <w:sz w:val="24"/>
          <w:szCs w:val="24"/>
        </w:rPr>
      </w:pPr>
      <w:r w:rsidRPr="00F05A4B">
        <w:rPr>
          <w:rFonts w:ascii="Arial" w:eastAsia="Calibri" w:hAnsi="Arial" w:cs="Arial"/>
          <w:sz w:val="24"/>
          <w:szCs w:val="24"/>
        </w:rPr>
        <w:t>Am</w:t>
      </w:r>
      <w:r w:rsidR="008F207D" w:rsidRPr="00F05A4B">
        <w:rPr>
          <w:rFonts w:ascii="Arial" w:eastAsia="Calibri" w:hAnsi="Arial" w:cs="Arial"/>
          <w:sz w:val="24"/>
          <w:szCs w:val="24"/>
        </w:rPr>
        <w:t>én de lo</w:t>
      </w:r>
      <w:r w:rsidRPr="00F05A4B">
        <w:rPr>
          <w:rFonts w:ascii="Arial" w:eastAsia="Calibri" w:hAnsi="Arial" w:cs="Arial"/>
          <w:sz w:val="24"/>
          <w:szCs w:val="24"/>
        </w:rPr>
        <w:t xml:space="preserve"> anterior,</w:t>
      </w:r>
      <w:r w:rsidR="00F36280" w:rsidRPr="00F05A4B">
        <w:rPr>
          <w:rFonts w:ascii="Arial" w:eastAsia="Calibri" w:hAnsi="Arial" w:cs="Arial"/>
          <w:sz w:val="24"/>
          <w:szCs w:val="24"/>
        </w:rPr>
        <w:t xml:space="preserve"> existe una clara </w:t>
      </w:r>
      <w:r w:rsidRPr="00F05A4B">
        <w:rPr>
          <w:rFonts w:ascii="Arial" w:eastAsia="Calibri" w:hAnsi="Arial" w:cs="Arial"/>
          <w:sz w:val="24"/>
          <w:szCs w:val="24"/>
        </w:rPr>
        <w:t>incoherencia</w:t>
      </w:r>
      <w:r w:rsidR="00F36280" w:rsidRPr="00F05A4B">
        <w:rPr>
          <w:rFonts w:ascii="Arial" w:eastAsia="Calibri" w:hAnsi="Arial" w:cs="Arial"/>
          <w:sz w:val="24"/>
          <w:szCs w:val="24"/>
        </w:rPr>
        <w:t xml:space="preserve"> entre la Ley 1787 de 2016 y el artículo 49 de la constitución, en tanto la Ley aumentó las excepciones a la prohibición del porte de cannabis.</w:t>
      </w:r>
    </w:p>
    <w:p w14:paraId="37BA8EFF" w14:textId="77777777" w:rsidR="00F36280" w:rsidRPr="00F05A4B" w:rsidRDefault="00F36280" w:rsidP="00F55092">
      <w:pPr>
        <w:jc w:val="both"/>
        <w:rPr>
          <w:rFonts w:ascii="Arial" w:eastAsia="Calibri" w:hAnsi="Arial" w:cs="Arial"/>
          <w:sz w:val="24"/>
          <w:szCs w:val="24"/>
        </w:rPr>
      </w:pPr>
    </w:p>
    <w:p w14:paraId="26EF21D9" w14:textId="1DC8E25F" w:rsidR="00F36280" w:rsidRPr="00F05A4B" w:rsidRDefault="00F36280" w:rsidP="00F55092">
      <w:pPr>
        <w:jc w:val="both"/>
        <w:rPr>
          <w:rFonts w:ascii="Arial" w:eastAsia="Calibri" w:hAnsi="Arial" w:cs="Arial"/>
          <w:b/>
          <w:sz w:val="24"/>
          <w:szCs w:val="24"/>
        </w:rPr>
      </w:pPr>
      <w:r w:rsidRPr="00F05A4B">
        <w:rPr>
          <w:rFonts w:ascii="Arial" w:eastAsia="Calibri" w:hAnsi="Arial" w:cs="Arial"/>
          <w:sz w:val="24"/>
          <w:szCs w:val="24"/>
        </w:rPr>
        <w:t>Consecuencia de lo anterior, en la actualidad no exist</w:t>
      </w:r>
      <w:r w:rsidR="00977F73" w:rsidRPr="00F05A4B">
        <w:rPr>
          <w:rFonts w:ascii="Arial" w:eastAsia="Calibri" w:hAnsi="Arial" w:cs="Arial"/>
          <w:sz w:val="24"/>
          <w:szCs w:val="24"/>
        </w:rPr>
        <w:t>e</w:t>
      </w:r>
      <w:r w:rsidRPr="00F05A4B">
        <w:rPr>
          <w:rFonts w:ascii="Arial" w:eastAsia="Calibri" w:hAnsi="Arial" w:cs="Arial"/>
          <w:sz w:val="24"/>
          <w:szCs w:val="24"/>
        </w:rPr>
        <w:t xml:space="preserve">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3EF2451E" w14:textId="77777777" w:rsidR="00F36280" w:rsidRPr="00F05A4B" w:rsidRDefault="00F36280" w:rsidP="00F55092">
      <w:pPr>
        <w:jc w:val="both"/>
        <w:rPr>
          <w:rFonts w:ascii="Arial" w:eastAsia="Calibri" w:hAnsi="Arial" w:cs="Arial"/>
          <w:b/>
          <w:sz w:val="24"/>
          <w:szCs w:val="24"/>
        </w:rPr>
      </w:pPr>
    </w:p>
    <w:p w14:paraId="6F526E15" w14:textId="77777777" w:rsidR="00F36280" w:rsidRPr="00F05A4B" w:rsidRDefault="00F36280" w:rsidP="00F55092">
      <w:pPr>
        <w:jc w:val="both"/>
        <w:rPr>
          <w:rFonts w:ascii="Arial" w:eastAsia="Calibri" w:hAnsi="Arial" w:cs="Arial"/>
          <w:b/>
          <w:sz w:val="24"/>
          <w:szCs w:val="24"/>
        </w:rPr>
      </w:pPr>
      <w:r w:rsidRPr="00F05A4B">
        <w:rPr>
          <w:rFonts w:ascii="Arial" w:eastAsia="Calibri" w:hAnsi="Arial" w:cs="Arial"/>
          <w:b/>
          <w:sz w:val="24"/>
          <w:szCs w:val="24"/>
        </w:rPr>
        <w:t>3.2 POSTURA ACTUAL FRENTE AL USO DEL CANNABIS A NIVEL INTERNACIONAL</w:t>
      </w:r>
    </w:p>
    <w:p w14:paraId="485601D5" w14:textId="77777777" w:rsidR="00F36280" w:rsidRPr="00F05A4B" w:rsidRDefault="00F36280" w:rsidP="00F55092">
      <w:pPr>
        <w:pStyle w:val="Ttulo2"/>
        <w:ind w:left="0"/>
        <w:jc w:val="both"/>
        <w:rPr>
          <w:rFonts w:ascii="Arial" w:eastAsia="Calibri" w:hAnsi="Arial" w:cs="Arial"/>
          <w:b w:val="0"/>
          <w:sz w:val="24"/>
          <w:szCs w:val="24"/>
        </w:rPr>
      </w:pPr>
    </w:p>
    <w:p w14:paraId="269118EE" w14:textId="659FB189" w:rsidR="00F36280" w:rsidRPr="00F05A4B" w:rsidRDefault="00F36280" w:rsidP="00F55092">
      <w:pPr>
        <w:pStyle w:val="Ttulo2"/>
        <w:ind w:left="0"/>
        <w:jc w:val="both"/>
        <w:rPr>
          <w:rFonts w:ascii="Arial" w:eastAsia="Calibri" w:hAnsi="Arial" w:cs="Arial"/>
          <w:b w:val="0"/>
          <w:sz w:val="24"/>
          <w:szCs w:val="24"/>
        </w:rPr>
      </w:pPr>
      <w:r w:rsidRPr="00F05A4B">
        <w:rPr>
          <w:rFonts w:ascii="Arial" w:eastAsia="Calibri" w:hAnsi="Arial" w:cs="Arial"/>
          <w:b w:val="0"/>
          <w:sz w:val="24"/>
          <w:szCs w:val="24"/>
        </w:rPr>
        <w:t>Son muchos los países que</w:t>
      </w:r>
      <w:r w:rsidR="000E548B" w:rsidRPr="00F05A4B">
        <w:rPr>
          <w:rFonts w:ascii="Arial" w:eastAsia="Calibri" w:hAnsi="Arial" w:cs="Arial"/>
          <w:b w:val="0"/>
          <w:sz w:val="24"/>
          <w:szCs w:val="24"/>
        </w:rPr>
        <w:t>,</w:t>
      </w:r>
      <w:r w:rsidRPr="00F05A4B">
        <w:rPr>
          <w:rFonts w:ascii="Arial" w:eastAsia="Calibri" w:hAnsi="Arial" w:cs="Arial"/>
          <w:b w:val="0"/>
          <w:sz w:val="24"/>
          <w:szCs w:val="24"/>
        </w:rPr>
        <w:t xml:space="preserve"> poco a poco</w:t>
      </w:r>
      <w:r w:rsidR="000E548B" w:rsidRPr="00F05A4B">
        <w:rPr>
          <w:rFonts w:ascii="Arial" w:eastAsia="Calibri" w:hAnsi="Arial" w:cs="Arial"/>
          <w:b w:val="0"/>
          <w:sz w:val="24"/>
          <w:szCs w:val="24"/>
        </w:rPr>
        <w:t>,</w:t>
      </w:r>
      <w:r w:rsidRPr="00F05A4B">
        <w:rPr>
          <w:rFonts w:ascii="Arial" w:eastAsia="Calibri" w:hAnsi="Arial" w:cs="Arial"/>
          <w:b w:val="0"/>
          <w:sz w:val="24"/>
          <w:szCs w:val="24"/>
        </w:rPr>
        <w:t xml:space="preserve"> han venido realizando una transición hacia la regularización del cannabis tanto de uso recreativo como de uso medicinal y científico. Países como Uruguay, Argentina, México, Holanda, Canadá, el estado de Colorado en Estados Unidos y la ciudad de Copenhague en Dinamarca han enarbolado las banderas de la regularización del cannabis como pioneros, si bien no todos han sido exitosos en modificar la Ley, hay casos concretos en que se puede encontrar un mercado legal con controles eficaces y eficientes.</w:t>
      </w:r>
    </w:p>
    <w:p w14:paraId="2776200E" w14:textId="77777777" w:rsidR="00F36280" w:rsidRPr="00F05A4B" w:rsidRDefault="00F36280" w:rsidP="00F55092">
      <w:pPr>
        <w:rPr>
          <w:rFonts w:ascii="Arial" w:eastAsia="Calibri" w:hAnsi="Arial" w:cs="Arial"/>
          <w:sz w:val="24"/>
          <w:szCs w:val="24"/>
        </w:rPr>
      </w:pPr>
    </w:p>
    <w:p w14:paraId="79B87866" w14:textId="77777777" w:rsidR="00F36280" w:rsidRPr="00F05A4B" w:rsidRDefault="00F36280" w:rsidP="00F55092">
      <w:pPr>
        <w:jc w:val="both"/>
        <w:rPr>
          <w:rFonts w:ascii="Arial" w:eastAsia="Calibri" w:hAnsi="Arial" w:cs="Arial"/>
          <w:sz w:val="24"/>
          <w:szCs w:val="24"/>
        </w:rPr>
      </w:pPr>
      <w:r w:rsidRPr="00F05A4B">
        <w:rPr>
          <w:rFonts w:ascii="Arial" w:eastAsia="Calibri" w:hAnsi="Arial" w:cs="Arial"/>
          <w:sz w:val="24"/>
          <w:szCs w:val="24"/>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F05A4B">
        <w:rPr>
          <w:rStyle w:val="Refdenotaalpie"/>
          <w:rFonts w:ascii="Arial" w:eastAsia="Calibri" w:hAnsi="Arial" w:cs="Arial"/>
          <w:sz w:val="24"/>
          <w:szCs w:val="24"/>
        </w:rPr>
        <w:footnoteReference w:id="6"/>
      </w:r>
      <w:r w:rsidRPr="00F05A4B">
        <w:rPr>
          <w:rFonts w:ascii="Arial" w:eastAsia="Calibri" w:hAnsi="Arial" w:cs="Arial"/>
          <w:sz w:val="24"/>
          <w:szCs w:val="24"/>
        </w:rPr>
        <w:t>:</w:t>
      </w:r>
      <w:r w:rsidRPr="00F05A4B" w:rsidDel="002E290A">
        <w:rPr>
          <w:rFonts w:ascii="Arial" w:eastAsia="Calibri" w:hAnsi="Arial" w:cs="Arial"/>
          <w:sz w:val="24"/>
          <w:szCs w:val="24"/>
        </w:rPr>
        <w:t xml:space="preserve"> </w:t>
      </w:r>
    </w:p>
    <w:p w14:paraId="34EFCD8D" w14:textId="77777777" w:rsidR="00F36280" w:rsidRPr="00F05A4B" w:rsidRDefault="00F36280" w:rsidP="00F55092">
      <w:pPr>
        <w:jc w:val="both"/>
        <w:rPr>
          <w:rFonts w:ascii="Arial" w:eastAsia="Calibri" w:hAnsi="Arial" w:cs="Arial"/>
          <w:sz w:val="24"/>
          <w:szCs w:val="24"/>
        </w:rPr>
      </w:pPr>
    </w:p>
    <w:p w14:paraId="6EAD74A9" w14:textId="77777777" w:rsidR="00F36280" w:rsidRPr="00F05A4B" w:rsidRDefault="00F36280" w:rsidP="00F55092">
      <w:pPr>
        <w:jc w:val="both"/>
        <w:rPr>
          <w:rFonts w:ascii="Arial" w:eastAsia="Calibri" w:hAnsi="Arial" w:cs="Arial"/>
          <w:sz w:val="24"/>
          <w:szCs w:val="24"/>
        </w:rPr>
      </w:pPr>
    </w:p>
    <w:p w14:paraId="0F615A74" w14:textId="77777777" w:rsidR="00F36280" w:rsidRPr="00F05A4B" w:rsidRDefault="00F36280" w:rsidP="00F55092">
      <w:pPr>
        <w:jc w:val="center"/>
        <w:rPr>
          <w:rFonts w:ascii="Arial" w:eastAsia="Calibri" w:hAnsi="Arial" w:cs="Arial"/>
          <w:b/>
          <w:sz w:val="24"/>
          <w:szCs w:val="24"/>
        </w:rPr>
      </w:pPr>
      <w:r w:rsidRPr="00F05A4B">
        <w:rPr>
          <w:rFonts w:ascii="Arial" w:eastAsia="Calibri" w:hAnsi="Arial" w:cs="Arial"/>
          <w:b/>
          <w:sz w:val="24"/>
          <w:szCs w:val="24"/>
        </w:rPr>
        <w:t xml:space="preserve">Tabla 1. Aspectos modificados en </w:t>
      </w:r>
    </w:p>
    <w:p w14:paraId="24D7CCB7" w14:textId="77777777" w:rsidR="00F36280" w:rsidRPr="00F05A4B" w:rsidRDefault="00F36280" w:rsidP="00F55092">
      <w:pPr>
        <w:jc w:val="center"/>
        <w:rPr>
          <w:rFonts w:ascii="Arial" w:eastAsia="Calibri" w:hAnsi="Arial" w:cs="Arial"/>
          <w:b/>
          <w:sz w:val="24"/>
          <w:szCs w:val="24"/>
        </w:rPr>
      </w:pPr>
      <w:r w:rsidRPr="00F05A4B">
        <w:rPr>
          <w:rFonts w:ascii="Arial" w:eastAsia="Calibri" w:hAnsi="Arial" w:cs="Arial"/>
          <w:b/>
          <w:sz w:val="24"/>
          <w:szCs w:val="24"/>
        </w:rPr>
        <w:t>Uruguay, Colorado (Estados Unidos) y Canadá</w:t>
      </w:r>
    </w:p>
    <w:p w14:paraId="05D54148" w14:textId="77777777" w:rsidR="00F36280" w:rsidRPr="00F05A4B" w:rsidRDefault="00F36280" w:rsidP="00F55092">
      <w:pPr>
        <w:jc w:val="center"/>
        <w:rPr>
          <w:rFonts w:ascii="Arial" w:eastAsia="Calibri" w:hAnsi="Arial" w:cs="Arial"/>
          <w:b/>
          <w:sz w:val="24"/>
          <w:szCs w:val="24"/>
        </w:rPr>
      </w:pPr>
    </w:p>
    <w:tbl>
      <w:tblPr>
        <w:tblStyle w:val="Tablaconcuadrcula"/>
        <w:tblW w:w="9876" w:type="dxa"/>
        <w:tblInd w:w="-431" w:type="dxa"/>
        <w:tblLook w:val="04A0" w:firstRow="1" w:lastRow="0" w:firstColumn="1" w:lastColumn="0" w:noHBand="0" w:noVBand="1"/>
      </w:tblPr>
      <w:tblGrid>
        <w:gridCol w:w="2978"/>
        <w:gridCol w:w="4111"/>
        <w:gridCol w:w="2787"/>
      </w:tblGrid>
      <w:tr w:rsidR="00F36280" w:rsidRPr="001E451B" w14:paraId="76458FFD" w14:textId="77777777" w:rsidTr="005B5FC0">
        <w:trPr>
          <w:trHeight w:val="20"/>
        </w:trPr>
        <w:tc>
          <w:tcPr>
            <w:tcW w:w="2978" w:type="dxa"/>
            <w:shd w:val="clear" w:color="auto" w:fill="BFBFBF" w:themeFill="background1" w:themeFillShade="BF"/>
            <w:vAlign w:val="center"/>
          </w:tcPr>
          <w:p w14:paraId="61360E7E" w14:textId="77777777" w:rsidR="00F36280" w:rsidRPr="001E451B" w:rsidRDefault="00F36280" w:rsidP="00F55092">
            <w:pPr>
              <w:jc w:val="center"/>
              <w:rPr>
                <w:rFonts w:ascii="Arial" w:hAnsi="Arial" w:cs="Arial"/>
                <w:b/>
              </w:rPr>
            </w:pPr>
            <w:r w:rsidRPr="001E451B">
              <w:rPr>
                <w:rFonts w:ascii="Arial" w:hAnsi="Arial" w:cs="Arial"/>
                <w:b/>
              </w:rPr>
              <w:t>URUGUAY</w:t>
            </w:r>
          </w:p>
        </w:tc>
        <w:tc>
          <w:tcPr>
            <w:tcW w:w="4111" w:type="dxa"/>
            <w:shd w:val="clear" w:color="auto" w:fill="BFBFBF" w:themeFill="background1" w:themeFillShade="BF"/>
            <w:vAlign w:val="center"/>
          </w:tcPr>
          <w:p w14:paraId="71D6DF79" w14:textId="77777777" w:rsidR="00F36280" w:rsidRPr="001E451B" w:rsidRDefault="00F36280" w:rsidP="00F55092">
            <w:pPr>
              <w:jc w:val="center"/>
              <w:rPr>
                <w:rFonts w:ascii="Arial" w:hAnsi="Arial" w:cs="Arial"/>
                <w:b/>
              </w:rPr>
            </w:pPr>
            <w:r w:rsidRPr="001E451B">
              <w:rPr>
                <w:rFonts w:ascii="Arial" w:hAnsi="Arial" w:cs="Arial"/>
                <w:b/>
              </w:rPr>
              <w:t>COLORADO – EEUU</w:t>
            </w:r>
          </w:p>
        </w:tc>
        <w:tc>
          <w:tcPr>
            <w:tcW w:w="2787" w:type="dxa"/>
            <w:shd w:val="clear" w:color="auto" w:fill="BFBFBF" w:themeFill="background1" w:themeFillShade="BF"/>
            <w:vAlign w:val="center"/>
          </w:tcPr>
          <w:p w14:paraId="5B480DC8" w14:textId="77777777" w:rsidR="00F36280" w:rsidRPr="001E451B" w:rsidRDefault="00F36280" w:rsidP="00F55092">
            <w:pPr>
              <w:jc w:val="center"/>
              <w:rPr>
                <w:rFonts w:ascii="Arial" w:hAnsi="Arial" w:cs="Arial"/>
                <w:b/>
              </w:rPr>
            </w:pPr>
            <w:r w:rsidRPr="001E451B">
              <w:rPr>
                <w:rFonts w:ascii="Arial" w:hAnsi="Arial" w:cs="Arial"/>
                <w:b/>
              </w:rPr>
              <w:t>CANADÁ</w:t>
            </w:r>
          </w:p>
        </w:tc>
      </w:tr>
      <w:tr w:rsidR="00F36280" w:rsidRPr="001E451B" w14:paraId="71ADA82D" w14:textId="77777777" w:rsidTr="005B5FC0">
        <w:trPr>
          <w:trHeight w:val="20"/>
        </w:trPr>
        <w:tc>
          <w:tcPr>
            <w:tcW w:w="9876" w:type="dxa"/>
            <w:gridSpan w:val="3"/>
            <w:shd w:val="clear" w:color="auto" w:fill="D9D9D9" w:themeFill="background1" w:themeFillShade="D9"/>
            <w:vAlign w:val="center"/>
          </w:tcPr>
          <w:p w14:paraId="65B1D10C" w14:textId="77777777" w:rsidR="00F36280" w:rsidRPr="001E451B" w:rsidRDefault="00F36280" w:rsidP="00F55092">
            <w:pPr>
              <w:jc w:val="center"/>
              <w:rPr>
                <w:rFonts w:ascii="Arial" w:hAnsi="Arial" w:cs="Arial"/>
                <w:b/>
                <w:i/>
              </w:rPr>
            </w:pPr>
            <w:r w:rsidRPr="001E451B">
              <w:rPr>
                <w:rFonts w:ascii="Arial" w:hAnsi="Arial" w:cs="Arial"/>
                <w:b/>
                <w:i/>
              </w:rPr>
              <w:t>Enfoque</w:t>
            </w:r>
          </w:p>
        </w:tc>
      </w:tr>
      <w:tr w:rsidR="00F36280" w:rsidRPr="001E451B" w14:paraId="76E3FCA9" w14:textId="77777777" w:rsidTr="005B5FC0">
        <w:trPr>
          <w:trHeight w:val="20"/>
        </w:trPr>
        <w:tc>
          <w:tcPr>
            <w:tcW w:w="2978" w:type="dxa"/>
            <w:vAlign w:val="center"/>
          </w:tcPr>
          <w:p w14:paraId="2E19B8FD"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Salud pública.</w:t>
            </w:r>
          </w:p>
          <w:p w14:paraId="2BDA9874"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Control estatal.</w:t>
            </w:r>
          </w:p>
          <w:p w14:paraId="7C176C1C"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Desmercantilización           del cannabis.</w:t>
            </w:r>
          </w:p>
        </w:tc>
        <w:tc>
          <w:tcPr>
            <w:tcW w:w="4111" w:type="dxa"/>
            <w:vAlign w:val="center"/>
          </w:tcPr>
          <w:p w14:paraId="299B6370"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Salud y seguridad pública.</w:t>
            </w:r>
          </w:p>
          <w:p w14:paraId="49427D81"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Eficiencia y libertad individual.</w:t>
            </w:r>
          </w:p>
          <w:p w14:paraId="16D59216"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Recaudación.</w:t>
            </w:r>
          </w:p>
          <w:p w14:paraId="1A520FC4"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Libre mercado.</w:t>
            </w:r>
          </w:p>
        </w:tc>
        <w:tc>
          <w:tcPr>
            <w:tcW w:w="2787" w:type="dxa"/>
            <w:vAlign w:val="center"/>
          </w:tcPr>
          <w:p w14:paraId="59338767"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Enfoque salud pública.</w:t>
            </w:r>
          </w:p>
          <w:p w14:paraId="28DE52E9"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Seguridad en la práctica.</w:t>
            </w:r>
          </w:p>
          <w:p w14:paraId="741F7BF9"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Libre mercado.</w:t>
            </w:r>
          </w:p>
        </w:tc>
      </w:tr>
      <w:tr w:rsidR="00F36280" w:rsidRPr="001E451B" w14:paraId="53B161E2" w14:textId="77777777" w:rsidTr="005B5FC0">
        <w:trPr>
          <w:trHeight w:val="20"/>
        </w:trPr>
        <w:tc>
          <w:tcPr>
            <w:tcW w:w="9876" w:type="dxa"/>
            <w:gridSpan w:val="3"/>
            <w:shd w:val="clear" w:color="auto" w:fill="D9D9D9" w:themeFill="background1" w:themeFillShade="D9"/>
            <w:vAlign w:val="center"/>
          </w:tcPr>
          <w:p w14:paraId="2360CD51" w14:textId="77777777" w:rsidR="00F36280" w:rsidRPr="001E451B" w:rsidRDefault="00F36280" w:rsidP="00F55092">
            <w:pPr>
              <w:jc w:val="center"/>
              <w:rPr>
                <w:rFonts w:ascii="Arial" w:hAnsi="Arial" w:cs="Arial"/>
                <w:b/>
                <w:i/>
              </w:rPr>
            </w:pPr>
            <w:r w:rsidRPr="001E451B">
              <w:rPr>
                <w:rFonts w:ascii="Arial" w:hAnsi="Arial" w:cs="Arial"/>
                <w:b/>
                <w:i/>
              </w:rPr>
              <w:t>Objetivos</w:t>
            </w:r>
          </w:p>
        </w:tc>
      </w:tr>
      <w:tr w:rsidR="00F36280" w:rsidRPr="001E451B" w14:paraId="314FCB4B" w14:textId="77777777" w:rsidTr="005B5FC0">
        <w:trPr>
          <w:trHeight w:val="20"/>
        </w:trPr>
        <w:tc>
          <w:tcPr>
            <w:tcW w:w="2978" w:type="dxa"/>
            <w:vAlign w:val="center"/>
          </w:tcPr>
          <w:p w14:paraId="5705038D"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Proteger a los habitantes del comercio ilegal y el narcotráfico.</w:t>
            </w:r>
          </w:p>
          <w:p w14:paraId="76661A00"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Atacar consecuencias sanitarias, sociales y económicas del uso problemático de sustancias psicoactivas.</w:t>
            </w:r>
          </w:p>
          <w:p w14:paraId="460073C7"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Reducir la incidencia del narcotráfico y del crimen organizado.</w:t>
            </w:r>
          </w:p>
        </w:tc>
        <w:tc>
          <w:tcPr>
            <w:tcW w:w="4111" w:type="dxa"/>
            <w:vAlign w:val="center"/>
          </w:tcPr>
          <w:p w14:paraId="1A6663D9" w14:textId="77777777" w:rsidR="00F36280" w:rsidRPr="001E451B" w:rsidRDefault="00F36280" w:rsidP="00F55092">
            <w:pPr>
              <w:pStyle w:val="Ttulo2"/>
              <w:ind w:left="0"/>
              <w:outlineLvl w:val="1"/>
              <w:rPr>
                <w:rFonts w:ascii="Arial" w:eastAsia="Calibri" w:hAnsi="Arial" w:cs="Arial"/>
                <w:b w:val="0"/>
                <w:i/>
                <w:sz w:val="22"/>
                <w:szCs w:val="22"/>
              </w:rPr>
            </w:pPr>
            <w:r w:rsidRPr="001E451B">
              <w:rPr>
                <w:rFonts w:ascii="Arial" w:eastAsia="Calibri" w:hAnsi="Arial" w:cs="Arial"/>
                <w:b w:val="0"/>
                <w:i/>
                <w:sz w:val="22"/>
                <w:szCs w:val="22"/>
              </w:rPr>
              <w:t>Enmienda 64:</w:t>
            </w:r>
          </w:p>
          <w:p w14:paraId="65114B67"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Uso eficiente de los recursos para la aplicación de la ley.</w:t>
            </w:r>
          </w:p>
          <w:p w14:paraId="6386AADF"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Aumento de ingresos para fines públicos.</w:t>
            </w:r>
          </w:p>
          <w:p w14:paraId="405621E6"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Libertad individual.</w:t>
            </w:r>
          </w:p>
          <w:p w14:paraId="435F5C2E" w14:textId="77777777" w:rsidR="00F36280" w:rsidRPr="001E451B" w:rsidRDefault="00F36280" w:rsidP="00F55092">
            <w:pPr>
              <w:jc w:val="center"/>
              <w:rPr>
                <w:rFonts w:ascii="Arial" w:hAnsi="Arial" w:cs="Arial"/>
              </w:rPr>
            </w:pPr>
          </w:p>
          <w:p w14:paraId="3C603291" w14:textId="77777777" w:rsidR="00F36280" w:rsidRPr="001E451B" w:rsidRDefault="00F36280" w:rsidP="00F55092">
            <w:pPr>
              <w:pStyle w:val="Ttulo2"/>
              <w:ind w:left="0" w:right="40"/>
              <w:jc w:val="both"/>
              <w:outlineLvl w:val="1"/>
              <w:rPr>
                <w:rFonts w:ascii="Arial" w:eastAsia="Calibri" w:hAnsi="Arial" w:cs="Arial"/>
                <w:sz w:val="22"/>
                <w:szCs w:val="22"/>
              </w:rPr>
            </w:pPr>
            <w:r w:rsidRPr="001E451B">
              <w:rPr>
                <w:rFonts w:ascii="Arial" w:eastAsia="Calibri" w:hAnsi="Arial" w:cs="Arial"/>
                <w:b w:val="0"/>
                <w:i/>
                <w:sz w:val="22"/>
                <w:szCs w:val="22"/>
              </w:rPr>
              <w:t>Principio rector gobierno Colorado:</w:t>
            </w:r>
            <w:r w:rsidRPr="001E451B">
              <w:rPr>
                <w:rFonts w:ascii="Arial" w:eastAsia="Calibri" w:hAnsi="Arial" w:cs="Arial"/>
                <w:sz w:val="22"/>
                <w:szCs w:val="22"/>
              </w:rPr>
              <w:t xml:space="preserve"> </w:t>
            </w:r>
            <w:r w:rsidRPr="001E451B">
              <w:rPr>
                <w:rFonts w:ascii="Arial" w:eastAsia="Calibri" w:hAnsi="Arial" w:cs="Arial"/>
                <w:b w:val="0"/>
                <w:sz w:val="22"/>
                <w:szCs w:val="22"/>
              </w:rPr>
              <w:t>crear un entorno normativo y de aplicación de la ley robusto que proteja la seguridad pública y evite el desvío de marihuana de venta al por menor a personas menores de 21 años o de fuera del estado de Colorado</w:t>
            </w:r>
            <w:r w:rsidRPr="001E451B">
              <w:rPr>
                <w:rFonts w:ascii="Arial" w:eastAsia="Calibri" w:hAnsi="Arial" w:cs="Arial"/>
                <w:sz w:val="22"/>
                <w:szCs w:val="22"/>
              </w:rPr>
              <w:t>.</w:t>
            </w:r>
          </w:p>
          <w:p w14:paraId="5180C70E" w14:textId="77777777" w:rsidR="00F36280" w:rsidRPr="001E451B" w:rsidRDefault="00F36280" w:rsidP="00F55092">
            <w:pPr>
              <w:rPr>
                <w:rFonts w:ascii="Arial" w:hAnsi="Arial" w:cs="Arial"/>
              </w:rPr>
            </w:pPr>
          </w:p>
        </w:tc>
        <w:tc>
          <w:tcPr>
            <w:tcW w:w="2787" w:type="dxa"/>
            <w:vAlign w:val="center"/>
          </w:tcPr>
          <w:p w14:paraId="546150E2"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Protección de la salud.</w:t>
            </w:r>
          </w:p>
          <w:p w14:paraId="3468BE0D"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Luchar contra el crimen organizado.</w:t>
            </w:r>
          </w:p>
        </w:tc>
      </w:tr>
      <w:tr w:rsidR="00F36280" w:rsidRPr="001E451B" w14:paraId="1CB7108B" w14:textId="77777777" w:rsidTr="005B5FC0">
        <w:trPr>
          <w:trHeight w:val="20"/>
        </w:trPr>
        <w:tc>
          <w:tcPr>
            <w:tcW w:w="9876" w:type="dxa"/>
            <w:gridSpan w:val="3"/>
            <w:shd w:val="clear" w:color="auto" w:fill="D9D9D9" w:themeFill="background1" w:themeFillShade="D9"/>
            <w:vAlign w:val="center"/>
          </w:tcPr>
          <w:p w14:paraId="5D36DC87" w14:textId="77777777" w:rsidR="00F36280" w:rsidRPr="001E451B" w:rsidRDefault="00F36280" w:rsidP="00F55092">
            <w:pPr>
              <w:jc w:val="center"/>
              <w:rPr>
                <w:rFonts w:ascii="Arial" w:hAnsi="Arial" w:cs="Arial"/>
                <w:b/>
                <w:i/>
                <w:lang w:val="en-US"/>
              </w:rPr>
            </w:pPr>
            <w:r w:rsidRPr="001E451B">
              <w:rPr>
                <w:rFonts w:ascii="Arial" w:hAnsi="Arial" w:cs="Arial"/>
                <w:b/>
                <w:i/>
                <w:lang w:val="en-US"/>
              </w:rPr>
              <w:t>Entidad que regula</w:t>
            </w:r>
          </w:p>
        </w:tc>
      </w:tr>
      <w:tr w:rsidR="00F36280" w:rsidRPr="001E451B" w14:paraId="6E865DAD" w14:textId="77777777" w:rsidTr="005B5FC0">
        <w:trPr>
          <w:trHeight w:val="20"/>
        </w:trPr>
        <w:tc>
          <w:tcPr>
            <w:tcW w:w="2978" w:type="dxa"/>
            <w:vAlign w:val="center"/>
          </w:tcPr>
          <w:p w14:paraId="360274BF" w14:textId="77777777" w:rsidR="00F36280" w:rsidRPr="001E451B" w:rsidRDefault="00F36280" w:rsidP="00F55092">
            <w:pPr>
              <w:jc w:val="both"/>
              <w:rPr>
                <w:rFonts w:ascii="Arial" w:hAnsi="Arial" w:cs="Arial"/>
              </w:rPr>
            </w:pPr>
            <w:r w:rsidRPr="001E451B">
              <w:rPr>
                <w:rFonts w:ascii="Arial" w:eastAsia="Calibri" w:hAnsi="Arial" w:cs="Arial"/>
              </w:rPr>
              <w:t>Instituto de Regulación y Control de Cannabis (IRCCA). Ministerio de Salud Pública.</w:t>
            </w:r>
          </w:p>
        </w:tc>
        <w:tc>
          <w:tcPr>
            <w:tcW w:w="4111" w:type="dxa"/>
            <w:vAlign w:val="center"/>
          </w:tcPr>
          <w:p w14:paraId="17458B78"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Marijuana Enforcement Division/ División de Aplicación de la Ley sobre Marihuana.</w:t>
            </w:r>
          </w:p>
          <w:p w14:paraId="62044A64"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Departamento de Hacienda.</w:t>
            </w:r>
          </w:p>
        </w:tc>
        <w:tc>
          <w:tcPr>
            <w:tcW w:w="2787" w:type="dxa"/>
            <w:vAlign w:val="center"/>
          </w:tcPr>
          <w:p w14:paraId="59A6C953" w14:textId="77777777" w:rsidR="00F36280" w:rsidRPr="001E451B" w:rsidRDefault="00F36280" w:rsidP="00F55092">
            <w:pPr>
              <w:jc w:val="both"/>
              <w:rPr>
                <w:rFonts w:ascii="Arial" w:hAnsi="Arial" w:cs="Arial"/>
                <w:lang w:val="en-US"/>
              </w:rPr>
            </w:pPr>
            <w:r w:rsidRPr="001E451B">
              <w:rPr>
                <w:rFonts w:ascii="Arial" w:hAnsi="Arial" w:cs="Arial"/>
                <w:lang w:val="en-US"/>
              </w:rPr>
              <w:t>Access to Cannabis for Medical Purposes Regulations (ACMPR) del Ministerio de Salud Canadiense (Health Canada).</w:t>
            </w:r>
          </w:p>
        </w:tc>
      </w:tr>
      <w:tr w:rsidR="00F36280" w:rsidRPr="001E451B" w14:paraId="19052B07" w14:textId="77777777" w:rsidTr="005B5FC0">
        <w:trPr>
          <w:trHeight w:val="20"/>
        </w:trPr>
        <w:tc>
          <w:tcPr>
            <w:tcW w:w="9876" w:type="dxa"/>
            <w:gridSpan w:val="3"/>
            <w:shd w:val="clear" w:color="auto" w:fill="D9D9D9" w:themeFill="background1" w:themeFillShade="D9"/>
            <w:vAlign w:val="center"/>
          </w:tcPr>
          <w:p w14:paraId="33C49E99" w14:textId="77777777" w:rsidR="00F36280" w:rsidRPr="001E451B" w:rsidRDefault="00F36280" w:rsidP="00F55092">
            <w:pPr>
              <w:jc w:val="center"/>
              <w:rPr>
                <w:rFonts w:ascii="Arial" w:hAnsi="Arial" w:cs="Arial"/>
              </w:rPr>
            </w:pPr>
            <w:r w:rsidRPr="001E451B">
              <w:rPr>
                <w:rFonts w:ascii="Arial" w:hAnsi="Arial" w:cs="Arial"/>
                <w:b/>
                <w:i/>
              </w:rPr>
              <w:t>Distribución</w:t>
            </w:r>
          </w:p>
        </w:tc>
      </w:tr>
      <w:tr w:rsidR="00F36280" w:rsidRPr="001E451B" w14:paraId="39DD7B14" w14:textId="77777777" w:rsidTr="005B5FC0">
        <w:trPr>
          <w:trHeight w:val="20"/>
        </w:trPr>
        <w:tc>
          <w:tcPr>
            <w:tcW w:w="2978" w:type="dxa"/>
            <w:vAlign w:val="center"/>
          </w:tcPr>
          <w:p w14:paraId="76505E0B"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Sector público y privado.</w:t>
            </w:r>
          </w:p>
          <w:p w14:paraId="0434B62C"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Farmacias.</w:t>
            </w:r>
          </w:p>
          <w:p w14:paraId="753D784B"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Clubes de cannabis.</w:t>
            </w:r>
          </w:p>
        </w:tc>
        <w:tc>
          <w:tcPr>
            <w:tcW w:w="4111" w:type="dxa"/>
            <w:vAlign w:val="center"/>
          </w:tcPr>
          <w:p w14:paraId="523CCBEF"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Sector privado.</w:t>
            </w:r>
          </w:p>
          <w:p w14:paraId="01685EE1"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Locales comerciales con licencia de dispensación de cannabis medicinal hasta jul.2014.</w:t>
            </w:r>
          </w:p>
          <w:p w14:paraId="1C0C830E"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Después licencia medicinal y/o comercial.</w:t>
            </w:r>
          </w:p>
        </w:tc>
        <w:tc>
          <w:tcPr>
            <w:tcW w:w="2787" w:type="dxa"/>
            <w:vAlign w:val="center"/>
          </w:tcPr>
          <w:p w14:paraId="270C7519"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Sector privado.</w:t>
            </w:r>
          </w:p>
          <w:p w14:paraId="23F50A3A"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Locales comerciales con licencia.</w:t>
            </w:r>
          </w:p>
          <w:p w14:paraId="0A960F81"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Experimentos con clubes de cannabis.</w:t>
            </w:r>
          </w:p>
        </w:tc>
      </w:tr>
      <w:tr w:rsidR="00F36280" w:rsidRPr="001E451B" w14:paraId="7FBC2C99" w14:textId="77777777" w:rsidTr="005B5FC0">
        <w:trPr>
          <w:trHeight w:val="20"/>
        </w:trPr>
        <w:tc>
          <w:tcPr>
            <w:tcW w:w="9876" w:type="dxa"/>
            <w:gridSpan w:val="3"/>
            <w:shd w:val="clear" w:color="auto" w:fill="D9D9D9" w:themeFill="background1" w:themeFillShade="D9"/>
            <w:vAlign w:val="center"/>
          </w:tcPr>
          <w:p w14:paraId="00C77ABC" w14:textId="77777777" w:rsidR="00F36280" w:rsidRPr="001E451B" w:rsidRDefault="00F36280" w:rsidP="00F55092">
            <w:pPr>
              <w:jc w:val="center"/>
              <w:rPr>
                <w:rFonts w:ascii="Arial" w:hAnsi="Arial" w:cs="Arial"/>
                <w:b/>
                <w:i/>
              </w:rPr>
            </w:pPr>
            <w:r w:rsidRPr="001E451B">
              <w:rPr>
                <w:rFonts w:ascii="Arial" w:hAnsi="Arial" w:cs="Arial"/>
                <w:b/>
                <w:i/>
              </w:rPr>
              <w:t>Establecimientos de venta</w:t>
            </w:r>
          </w:p>
        </w:tc>
      </w:tr>
      <w:tr w:rsidR="00F36280" w:rsidRPr="001E451B" w14:paraId="0B99B053" w14:textId="77777777" w:rsidTr="005B5FC0">
        <w:trPr>
          <w:trHeight w:val="20"/>
        </w:trPr>
        <w:tc>
          <w:tcPr>
            <w:tcW w:w="2978" w:type="dxa"/>
            <w:vAlign w:val="center"/>
          </w:tcPr>
          <w:p w14:paraId="7107F386"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Farmacias acreditadas en el registro del IRCCA.</w:t>
            </w:r>
          </w:p>
          <w:p w14:paraId="5916507E"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Clubes de cannabis registrados en el IRCCA.</w:t>
            </w:r>
          </w:p>
        </w:tc>
        <w:tc>
          <w:tcPr>
            <w:tcW w:w="4111" w:type="dxa"/>
            <w:vAlign w:val="center"/>
          </w:tcPr>
          <w:p w14:paraId="481AD281" w14:textId="77777777" w:rsidR="00F36280" w:rsidRPr="001E451B" w:rsidRDefault="00F36280" w:rsidP="00F55092">
            <w:pPr>
              <w:pStyle w:val="Ttulo2"/>
              <w:ind w:left="0"/>
              <w:outlineLvl w:val="1"/>
              <w:rPr>
                <w:rFonts w:ascii="Arial" w:eastAsia="Calibri" w:hAnsi="Arial" w:cs="Arial"/>
                <w:b w:val="0"/>
                <w:sz w:val="22"/>
                <w:szCs w:val="22"/>
              </w:rPr>
            </w:pPr>
            <w:r w:rsidRPr="001E451B">
              <w:rPr>
                <w:rFonts w:ascii="Arial" w:eastAsia="Calibri" w:hAnsi="Arial" w:cs="Arial"/>
                <w:b w:val="0"/>
                <w:sz w:val="22"/>
                <w:szCs w:val="22"/>
              </w:rPr>
              <w:t>Establecimientos con autorización</w:t>
            </w:r>
          </w:p>
        </w:tc>
        <w:tc>
          <w:tcPr>
            <w:tcW w:w="2787" w:type="dxa"/>
            <w:vAlign w:val="center"/>
          </w:tcPr>
          <w:p w14:paraId="480A8BCF"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Clubes de Cannabis.</w:t>
            </w:r>
          </w:p>
          <w:p w14:paraId="57A26215"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Establecimientos con licencias autorizadas.</w:t>
            </w:r>
          </w:p>
        </w:tc>
      </w:tr>
      <w:tr w:rsidR="00F36280" w:rsidRPr="001E451B" w14:paraId="1227CCBF" w14:textId="77777777" w:rsidTr="005B5FC0">
        <w:trPr>
          <w:trHeight w:val="20"/>
        </w:trPr>
        <w:tc>
          <w:tcPr>
            <w:tcW w:w="9876" w:type="dxa"/>
            <w:gridSpan w:val="3"/>
            <w:shd w:val="clear" w:color="auto" w:fill="D9D9D9" w:themeFill="background1" w:themeFillShade="D9"/>
            <w:vAlign w:val="center"/>
          </w:tcPr>
          <w:p w14:paraId="220E1AD3" w14:textId="77777777" w:rsidR="00F36280" w:rsidRPr="001E451B" w:rsidRDefault="00F36280" w:rsidP="00F55092">
            <w:pPr>
              <w:jc w:val="center"/>
              <w:rPr>
                <w:rFonts w:ascii="Arial" w:hAnsi="Arial" w:cs="Arial"/>
                <w:b/>
                <w:i/>
              </w:rPr>
            </w:pPr>
            <w:r w:rsidRPr="001E451B">
              <w:rPr>
                <w:rFonts w:ascii="Arial" w:hAnsi="Arial" w:cs="Arial"/>
                <w:b/>
                <w:i/>
              </w:rPr>
              <w:t>Edad permitida</w:t>
            </w:r>
          </w:p>
        </w:tc>
      </w:tr>
      <w:tr w:rsidR="00F36280" w:rsidRPr="001E451B" w14:paraId="19957427" w14:textId="77777777" w:rsidTr="005B5FC0">
        <w:trPr>
          <w:trHeight w:val="20"/>
        </w:trPr>
        <w:tc>
          <w:tcPr>
            <w:tcW w:w="2978" w:type="dxa"/>
            <w:vAlign w:val="center"/>
          </w:tcPr>
          <w:p w14:paraId="1BE688CA" w14:textId="77777777" w:rsidR="00F36280" w:rsidRPr="001E451B" w:rsidRDefault="00F36280" w:rsidP="00F55092">
            <w:pPr>
              <w:jc w:val="center"/>
              <w:rPr>
                <w:rFonts w:ascii="Arial" w:hAnsi="Arial" w:cs="Arial"/>
              </w:rPr>
            </w:pPr>
            <w:r w:rsidRPr="001E451B">
              <w:rPr>
                <w:rFonts w:ascii="Arial" w:hAnsi="Arial" w:cs="Arial"/>
              </w:rPr>
              <w:t>18 años</w:t>
            </w:r>
          </w:p>
        </w:tc>
        <w:tc>
          <w:tcPr>
            <w:tcW w:w="4111" w:type="dxa"/>
            <w:vAlign w:val="center"/>
          </w:tcPr>
          <w:p w14:paraId="761A7935" w14:textId="77777777" w:rsidR="00F36280" w:rsidRPr="001E451B" w:rsidRDefault="00F36280" w:rsidP="00F55092">
            <w:pPr>
              <w:jc w:val="center"/>
              <w:rPr>
                <w:rFonts w:ascii="Arial" w:hAnsi="Arial" w:cs="Arial"/>
              </w:rPr>
            </w:pPr>
            <w:r w:rsidRPr="001E451B">
              <w:rPr>
                <w:rFonts w:ascii="Arial" w:hAnsi="Arial" w:cs="Arial"/>
              </w:rPr>
              <w:t>21 años</w:t>
            </w:r>
          </w:p>
        </w:tc>
        <w:tc>
          <w:tcPr>
            <w:tcW w:w="2787" w:type="dxa"/>
            <w:vAlign w:val="center"/>
          </w:tcPr>
          <w:p w14:paraId="70A8DF8F" w14:textId="77777777" w:rsidR="00F36280" w:rsidRPr="001E451B" w:rsidRDefault="00F36280" w:rsidP="00F55092">
            <w:pPr>
              <w:jc w:val="center"/>
              <w:rPr>
                <w:rFonts w:ascii="Arial" w:hAnsi="Arial" w:cs="Arial"/>
              </w:rPr>
            </w:pPr>
            <w:r w:rsidRPr="001E451B">
              <w:rPr>
                <w:rFonts w:ascii="Arial" w:hAnsi="Arial" w:cs="Arial"/>
              </w:rPr>
              <w:t>18 años</w:t>
            </w:r>
          </w:p>
        </w:tc>
      </w:tr>
      <w:tr w:rsidR="00F36280" w:rsidRPr="001E451B" w14:paraId="2AD09AFE" w14:textId="77777777" w:rsidTr="005B5FC0">
        <w:trPr>
          <w:trHeight w:val="20"/>
        </w:trPr>
        <w:tc>
          <w:tcPr>
            <w:tcW w:w="9876" w:type="dxa"/>
            <w:gridSpan w:val="3"/>
            <w:shd w:val="clear" w:color="auto" w:fill="D9D9D9" w:themeFill="background1" w:themeFillShade="D9"/>
            <w:vAlign w:val="center"/>
          </w:tcPr>
          <w:p w14:paraId="1595B1BF" w14:textId="77777777" w:rsidR="00F36280" w:rsidRPr="001E451B" w:rsidRDefault="00F36280" w:rsidP="00F55092">
            <w:pPr>
              <w:jc w:val="center"/>
              <w:rPr>
                <w:rFonts w:ascii="Arial" w:hAnsi="Arial" w:cs="Arial"/>
              </w:rPr>
            </w:pPr>
            <w:r w:rsidRPr="001E451B">
              <w:rPr>
                <w:rFonts w:ascii="Arial" w:hAnsi="Arial" w:cs="Arial"/>
                <w:b/>
                <w:i/>
              </w:rPr>
              <w:t>Registro</w:t>
            </w:r>
          </w:p>
        </w:tc>
      </w:tr>
      <w:tr w:rsidR="00F36280" w:rsidRPr="001E451B" w14:paraId="45A82A9B" w14:textId="77777777" w:rsidTr="005B5FC0">
        <w:trPr>
          <w:trHeight w:val="20"/>
        </w:trPr>
        <w:tc>
          <w:tcPr>
            <w:tcW w:w="2978" w:type="dxa"/>
            <w:vAlign w:val="center"/>
          </w:tcPr>
          <w:p w14:paraId="1FD6DB5E"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Registro de cultivos en el IRCCA (Datos de carácter sensible).</w:t>
            </w:r>
          </w:p>
          <w:p w14:paraId="10AA5781"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Registro de personas usuarias y de integrantes de clubes (Datos de carácter sensible).</w:t>
            </w:r>
          </w:p>
        </w:tc>
        <w:tc>
          <w:tcPr>
            <w:tcW w:w="4111" w:type="dxa"/>
            <w:vAlign w:val="center"/>
          </w:tcPr>
          <w:p w14:paraId="71EBA5BC" w14:textId="77777777" w:rsidR="00F36280" w:rsidRPr="001E451B" w:rsidRDefault="00F36280" w:rsidP="00F55092">
            <w:pPr>
              <w:jc w:val="both"/>
              <w:rPr>
                <w:rFonts w:ascii="Arial" w:hAnsi="Arial" w:cs="Arial"/>
              </w:rPr>
            </w:pPr>
            <w:r w:rsidRPr="001E451B">
              <w:rPr>
                <w:rFonts w:ascii="Arial" w:eastAsia="Calibri" w:hAnsi="Arial" w:cs="Arial"/>
              </w:rPr>
              <w:t>No se permite según la ley pero están obligados a instalar cámaras que registren la identidad de vendedor y comprador.</w:t>
            </w:r>
          </w:p>
        </w:tc>
        <w:tc>
          <w:tcPr>
            <w:tcW w:w="2787" w:type="dxa"/>
            <w:vAlign w:val="center"/>
          </w:tcPr>
          <w:p w14:paraId="78420E23"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Registro de usuarios de clubes de cannabis.</w:t>
            </w:r>
          </w:p>
          <w:p w14:paraId="192543D6"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Registro de usuarios de cannabis medicinal.</w:t>
            </w:r>
          </w:p>
        </w:tc>
      </w:tr>
      <w:tr w:rsidR="00F36280" w:rsidRPr="001E451B" w14:paraId="7E3F77D9" w14:textId="77777777" w:rsidTr="005B5FC0">
        <w:trPr>
          <w:trHeight w:val="20"/>
        </w:trPr>
        <w:tc>
          <w:tcPr>
            <w:tcW w:w="9876" w:type="dxa"/>
            <w:gridSpan w:val="3"/>
            <w:shd w:val="clear" w:color="auto" w:fill="D9D9D9" w:themeFill="background1" w:themeFillShade="D9"/>
            <w:vAlign w:val="center"/>
          </w:tcPr>
          <w:p w14:paraId="5F77492F" w14:textId="77777777" w:rsidR="00F36280" w:rsidRPr="001E451B" w:rsidRDefault="00F36280" w:rsidP="00F55092">
            <w:pPr>
              <w:jc w:val="center"/>
              <w:rPr>
                <w:rFonts w:ascii="Arial" w:hAnsi="Arial" w:cs="Arial"/>
                <w:b/>
                <w:i/>
              </w:rPr>
            </w:pPr>
            <w:r w:rsidRPr="001E451B">
              <w:rPr>
                <w:rFonts w:ascii="Arial" w:hAnsi="Arial" w:cs="Arial"/>
                <w:b/>
                <w:i/>
              </w:rPr>
              <w:t>Publicidad</w:t>
            </w:r>
          </w:p>
        </w:tc>
      </w:tr>
      <w:tr w:rsidR="00F36280" w:rsidRPr="001E451B" w14:paraId="28D36786" w14:textId="77777777" w:rsidTr="005B5FC0">
        <w:trPr>
          <w:trHeight w:val="20"/>
        </w:trPr>
        <w:tc>
          <w:tcPr>
            <w:tcW w:w="2978" w:type="dxa"/>
            <w:vAlign w:val="center"/>
          </w:tcPr>
          <w:p w14:paraId="63E5AFA0" w14:textId="77777777" w:rsidR="00F36280" w:rsidRPr="001E451B" w:rsidRDefault="00F36280" w:rsidP="00F55092">
            <w:pPr>
              <w:jc w:val="center"/>
              <w:rPr>
                <w:rFonts w:ascii="Arial" w:hAnsi="Arial" w:cs="Arial"/>
              </w:rPr>
            </w:pPr>
            <w:r w:rsidRPr="001E451B">
              <w:rPr>
                <w:rFonts w:ascii="Arial" w:hAnsi="Arial" w:cs="Arial"/>
              </w:rPr>
              <w:t>Prohibida</w:t>
            </w:r>
          </w:p>
        </w:tc>
        <w:tc>
          <w:tcPr>
            <w:tcW w:w="4111" w:type="dxa"/>
            <w:vAlign w:val="center"/>
          </w:tcPr>
          <w:p w14:paraId="7D8F6743" w14:textId="77777777" w:rsidR="00F36280" w:rsidRPr="001E451B" w:rsidRDefault="00F36280" w:rsidP="00F55092">
            <w:pPr>
              <w:jc w:val="center"/>
              <w:rPr>
                <w:rFonts w:ascii="Arial" w:hAnsi="Arial" w:cs="Arial"/>
              </w:rPr>
            </w:pPr>
            <w:r w:rsidRPr="001E451B">
              <w:rPr>
                <w:rFonts w:ascii="Arial" w:hAnsi="Arial" w:cs="Arial"/>
              </w:rPr>
              <w:t>Regulada</w:t>
            </w:r>
          </w:p>
        </w:tc>
        <w:tc>
          <w:tcPr>
            <w:tcW w:w="2787" w:type="dxa"/>
            <w:vAlign w:val="center"/>
          </w:tcPr>
          <w:p w14:paraId="017962E4" w14:textId="77777777" w:rsidR="00F36280" w:rsidRPr="001E451B" w:rsidRDefault="00F36280" w:rsidP="00F55092">
            <w:pPr>
              <w:jc w:val="center"/>
              <w:rPr>
                <w:rFonts w:ascii="Arial" w:hAnsi="Arial" w:cs="Arial"/>
              </w:rPr>
            </w:pPr>
            <w:r w:rsidRPr="001E451B">
              <w:rPr>
                <w:rFonts w:ascii="Arial" w:hAnsi="Arial" w:cs="Arial"/>
              </w:rPr>
              <w:t>Prohibida</w:t>
            </w:r>
          </w:p>
        </w:tc>
      </w:tr>
      <w:tr w:rsidR="00F36280" w:rsidRPr="001E451B" w14:paraId="4E44FC1C" w14:textId="77777777" w:rsidTr="005B5FC0">
        <w:trPr>
          <w:trHeight w:val="20"/>
        </w:trPr>
        <w:tc>
          <w:tcPr>
            <w:tcW w:w="9876" w:type="dxa"/>
            <w:gridSpan w:val="3"/>
            <w:shd w:val="clear" w:color="auto" w:fill="D9D9D9" w:themeFill="background1" w:themeFillShade="D9"/>
            <w:vAlign w:val="center"/>
          </w:tcPr>
          <w:p w14:paraId="513736FA" w14:textId="77777777" w:rsidR="00F36280" w:rsidRPr="001E451B" w:rsidRDefault="00F36280" w:rsidP="00F55092">
            <w:pPr>
              <w:jc w:val="center"/>
              <w:rPr>
                <w:rFonts w:ascii="Arial" w:hAnsi="Arial" w:cs="Arial"/>
                <w:b/>
                <w:i/>
              </w:rPr>
            </w:pPr>
            <w:r w:rsidRPr="001E451B">
              <w:rPr>
                <w:rFonts w:ascii="Arial" w:hAnsi="Arial" w:cs="Arial"/>
                <w:b/>
                <w:i/>
              </w:rPr>
              <w:t>Fiscalidad</w:t>
            </w:r>
          </w:p>
        </w:tc>
      </w:tr>
      <w:tr w:rsidR="00F36280" w:rsidRPr="001E451B" w14:paraId="3852E0E2" w14:textId="77777777" w:rsidTr="005B5FC0">
        <w:trPr>
          <w:trHeight w:val="20"/>
        </w:trPr>
        <w:tc>
          <w:tcPr>
            <w:tcW w:w="2978" w:type="dxa"/>
            <w:vAlign w:val="center"/>
          </w:tcPr>
          <w:p w14:paraId="478893E4" w14:textId="77777777" w:rsidR="00F36280" w:rsidRPr="001E451B" w:rsidRDefault="00F36280" w:rsidP="00F55092">
            <w:pPr>
              <w:pStyle w:val="Ttulo2"/>
              <w:ind w:left="0" w:right="200"/>
              <w:jc w:val="both"/>
              <w:outlineLvl w:val="1"/>
              <w:rPr>
                <w:rFonts w:ascii="Arial" w:eastAsia="Calibri" w:hAnsi="Arial" w:cs="Arial"/>
                <w:b w:val="0"/>
                <w:sz w:val="22"/>
                <w:szCs w:val="22"/>
              </w:rPr>
            </w:pPr>
            <w:r w:rsidRPr="001E451B">
              <w:rPr>
                <w:rFonts w:ascii="Arial" w:eastAsia="Calibri" w:hAnsi="Arial" w:cs="Arial"/>
                <w:b w:val="0"/>
                <w:sz w:val="22"/>
                <w:szCs w:val="22"/>
              </w:rPr>
              <w:t>Precio de licencia + 20% IVA en suspenso (no se traslada al precio final de venta al público).</w:t>
            </w:r>
          </w:p>
        </w:tc>
        <w:tc>
          <w:tcPr>
            <w:tcW w:w="4111" w:type="dxa"/>
            <w:vAlign w:val="center"/>
          </w:tcPr>
          <w:p w14:paraId="5D9E63E0"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Impuestos municipales (variables)</w:t>
            </w:r>
          </w:p>
          <w:p w14:paraId="206A5E3F"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Impuestos indirectos</w:t>
            </w:r>
          </w:p>
          <w:p w14:paraId="2BAE5082"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w:t>
            </w:r>
            <w:r w:rsidRPr="001E451B">
              <w:rPr>
                <w:rFonts w:ascii="Arial" w:eastAsia="Calibri" w:hAnsi="Arial" w:cs="Arial"/>
                <w:b w:val="0"/>
                <w:i/>
                <w:sz w:val="22"/>
                <w:szCs w:val="22"/>
              </w:rPr>
              <w:t>Excise taxes):</w:t>
            </w:r>
            <w:r w:rsidRPr="001E451B">
              <w:rPr>
                <w:rFonts w:ascii="Arial" w:eastAsia="Calibri" w:hAnsi="Arial" w:cs="Arial"/>
                <w:b w:val="0"/>
                <w:sz w:val="22"/>
                <w:szCs w:val="22"/>
              </w:rPr>
              <w:t xml:space="preserve"> 15% IVA especial</w:t>
            </w:r>
          </w:p>
          <w:p w14:paraId="595358DA"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i/>
                <w:sz w:val="22"/>
                <w:szCs w:val="22"/>
              </w:rPr>
              <w:t>(Sales tax):</w:t>
            </w:r>
            <w:r w:rsidRPr="001E451B">
              <w:rPr>
                <w:rFonts w:ascii="Arial" w:eastAsia="Calibri" w:hAnsi="Arial" w:cs="Arial"/>
                <w:b w:val="0"/>
                <w:sz w:val="22"/>
                <w:szCs w:val="22"/>
              </w:rPr>
              <w:t xml:space="preserve"> 10%</w:t>
            </w:r>
          </w:p>
          <w:p w14:paraId="6D8483ED" w14:textId="77777777" w:rsidR="00F36280" w:rsidRPr="001E451B" w:rsidRDefault="00F36280" w:rsidP="00F55092">
            <w:pPr>
              <w:pStyle w:val="Ttulo2"/>
              <w:numPr>
                <w:ilvl w:val="0"/>
                <w:numId w:val="29"/>
              </w:numPr>
              <w:ind w:left="0" w:right="200" w:hanging="142"/>
              <w:jc w:val="both"/>
              <w:outlineLvl w:val="1"/>
              <w:rPr>
                <w:rFonts w:ascii="Arial" w:hAnsi="Arial" w:cs="Arial"/>
                <w:sz w:val="22"/>
                <w:szCs w:val="22"/>
              </w:rPr>
            </w:pPr>
            <w:r w:rsidRPr="001E451B">
              <w:rPr>
                <w:rFonts w:ascii="Arial" w:eastAsia="Calibri" w:hAnsi="Arial" w:cs="Arial"/>
                <w:b w:val="0"/>
                <w:sz w:val="22"/>
                <w:szCs w:val="22"/>
              </w:rPr>
              <w:t>IVA estatal: 2,9%</w:t>
            </w:r>
          </w:p>
        </w:tc>
        <w:tc>
          <w:tcPr>
            <w:tcW w:w="2787" w:type="dxa"/>
            <w:vAlign w:val="center"/>
          </w:tcPr>
          <w:p w14:paraId="0FC6080C" w14:textId="77777777" w:rsidR="00F36280" w:rsidRPr="001E451B" w:rsidRDefault="00F36280" w:rsidP="00F55092">
            <w:pPr>
              <w:rPr>
                <w:rFonts w:ascii="Arial" w:hAnsi="Arial" w:cs="Arial"/>
              </w:rPr>
            </w:pPr>
            <w:r w:rsidRPr="001E451B">
              <w:rPr>
                <w:rFonts w:ascii="Arial" w:hAnsi="Arial" w:cs="Arial"/>
              </w:rPr>
              <w:t>Existen dos tipos de impuestos:</w:t>
            </w:r>
          </w:p>
          <w:p w14:paraId="3B2F6C08" w14:textId="77777777" w:rsidR="00F36280" w:rsidRPr="001E451B" w:rsidRDefault="00F36280" w:rsidP="00F55092">
            <w:pPr>
              <w:jc w:val="center"/>
              <w:rPr>
                <w:rFonts w:ascii="Arial" w:hAnsi="Arial" w:cs="Arial"/>
              </w:rPr>
            </w:pPr>
          </w:p>
          <w:p w14:paraId="2550472C"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Nacional. Se implementa un impuesto consistente en el pago de 1 dólar canadiense por gramo o del 10% del precio de venta final, dependiendo de cuál sea el más elevado.</w:t>
            </w:r>
          </w:p>
          <w:p w14:paraId="13C73BC7" w14:textId="77777777" w:rsidR="00F36280" w:rsidRPr="001E451B" w:rsidRDefault="00F36280" w:rsidP="00F55092">
            <w:pPr>
              <w:jc w:val="center"/>
              <w:rPr>
                <w:rFonts w:ascii="Arial" w:hAnsi="Arial" w:cs="Arial"/>
              </w:rPr>
            </w:pPr>
          </w:p>
          <w:p w14:paraId="5D4CFE22"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Provincial. Se implementa el impuesto de venta de cualquier producto que varía entre el 13 y el 15%.</w:t>
            </w:r>
          </w:p>
          <w:p w14:paraId="6DBE4B12" w14:textId="77777777" w:rsidR="00F36280" w:rsidRPr="001E451B" w:rsidRDefault="00F36280" w:rsidP="00F55092">
            <w:pPr>
              <w:rPr>
                <w:rFonts w:ascii="Arial" w:hAnsi="Arial" w:cs="Arial"/>
              </w:rPr>
            </w:pPr>
          </w:p>
        </w:tc>
      </w:tr>
      <w:tr w:rsidR="00F36280" w:rsidRPr="001E451B" w14:paraId="72524F65" w14:textId="77777777" w:rsidTr="005B5FC0">
        <w:trPr>
          <w:trHeight w:val="20"/>
        </w:trPr>
        <w:tc>
          <w:tcPr>
            <w:tcW w:w="9876" w:type="dxa"/>
            <w:gridSpan w:val="3"/>
            <w:shd w:val="clear" w:color="auto" w:fill="D9D9D9" w:themeFill="background1" w:themeFillShade="D9"/>
            <w:vAlign w:val="center"/>
          </w:tcPr>
          <w:p w14:paraId="5E8A14F1" w14:textId="77777777" w:rsidR="00F36280" w:rsidRPr="001E451B" w:rsidRDefault="00F36280" w:rsidP="00F55092">
            <w:pPr>
              <w:jc w:val="center"/>
              <w:rPr>
                <w:rFonts w:ascii="Arial" w:hAnsi="Arial" w:cs="Arial"/>
                <w:b/>
                <w:i/>
              </w:rPr>
            </w:pPr>
            <w:r w:rsidRPr="001E451B">
              <w:rPr>
                <w:rFonts w:ascii="Arial" w:hAnsi="Arial" w:cs="Arial"/>
                <w:b/>
                <w:i/>
              </w:rPr>
              <w:t>Destinación de recursos recaudados</w:t>
            </w:r>
          </w:p>
        </w:tc>
      </w:tr>
      <w:tr w:rsidR="00F36280" w:rsidRPr="001E451B" w14:paraId="5F0678CE" w14:textId="77777777" w:rsidTr="005B5FC0">
        <w:trPr>
          <w:trHeight w:val="20"/>
        </w:trPr>
        <w:tc>
          <w:tcPr>
            <w:tcW w:w="2978" w:type="dxa"/>
            <w:vAlign w:val="center"/>
          </w:tcPr>
          <w:p w14:paraId="5ABCBA78" w14:textId="77777777" w:rsidR="00F36280" w:rsidRPr="001E451B" w:rsidRDefault="00F36280" w:rsidP="00F55092">
            <w:pPr>
              <w:jc w:val="both"/>
              <w:rPr>
                <w:rFonts w:ascii="Arial" w:hAnsi="Arial" w:cs="Arial"/>
              </w:rPr>
            </w:pPr>
            <w:r w:rsidRPr="001E451B">
              <w:rPr>
                <w:rFonts w:ascii="Arial" w:eastAsia="Calibri" w:hAnsi="Arial" w:cs="Arial"/>
              </w:rPr>
              <w:t>Sistema educativo y Sistema de salud.</w:t>
            </w:r>
          </w:p>
        </w:tc>
        <w:tc>
          <w:tcPr>
            <w:tcW w:w="4111" w:type="dxa"/>
            <w:vAlign w:val="center"/>
          </w:tcPr>
          <w:p w14:paraId="154A7346" w14:textId="77777777" w:rsidR="00F36280" w:rsidRPr="001E451B" w:rsidRDefault="00F36280" w:rsidP="00F55092">
            <w:pPr>
              <w:pStyle w:val="Ttulo2"/>
              <w:ind w:left="0" w:right="200"/>
              <w:jc w:val="both"/>
              <w:outlineLvl w:val="1"/>
              <w:rPr>
                <w:rFonts w:ascii="Arial" w:eastAsia="Calibri" w:hAnsi="Arial" w:cs="Arial"/>
                <w:b w:val="0"/>
                <w:sz w:val="22"/>
                <w:szCs w:val="22"/>
              </w:rPr>
            </w:pPr>
            <w:r w:rsidRPr="001E451B">
              <w:rPr>
                <w:rFonts w:ascii="Arial" w:eastAsia="Calibri" w:hAnsi="Arial" w:cs="Arial"/>
                <w:b w:val="0"/>
                <w:sz w:val="22"/>
                <w:szCs w:val="22"/>
              </w:rPr>
              <w:t>Impuestos indirectos.</w:t>
            </w:r>
          </w:p>
          <w:p w14:paraId="64350A90" w14:textId="77777777" w:rsidR="00F36280" w:rsidRPr="001E451B" w:rsidRDefault="00F36280" w:rsidP="00F55092">
            <w:pPr>
              <w:pStyle w:val="Ttulo2"/>
              <w:numPr>
                <w:ilvl w:val="0"/>
                <w:numId w:val="29"/>
              </w:numPr>
              <w:ind w:left="0" w:right="200" w:hanging="142"/>
              <w:jc w:val="both"/>
              <w:outlineLvl w:val="1"/>
              <w:rPr>
                <w:rFonts w:ascii="Arial" w:eastAsia="Calibri" w:hAnsi="Arial" w:cs="Arial"/>
                <w:b w:val="0"/>
                <w:sz w:val="22"/>
                <w:szCs w:val="22"/>
              </w:rPr>
            </w:pPr>
            <w:r w:rsidRPr="001E451B">
              <w:rPr>
                <w:rFonts w:ascii="Arial" w:eastAsia="Calibri" w:hAnsi="Arial" w:cs="Arial"/>
                <w:b w:val="0"/>
                <w:sz w:val="22"/>
                <w:szCs w:val="22"/>
              </w:rPr>
              <w:t>Primeros 40 millones van a Fondo para la construcción de escuelas. Después de los 40 millones se destinan a Fondo de Efectivo de Marihuana (</w:t>
            </w:r>
            <w:r w:rsidRPr="001E451B">
              <w:rPr>
                <w:rFonts w:ascii="Arial" w:eastAsia="Calibri" w:hAnsi="Arial" w:cs="Arial"/>
                <w:b w:val="0"/>
                <w:i/>
                <w:sz w:val="22"/>
                <w:szCs w:val="22"/>
              </w:rPr>
              <w:t>Marihuana Cash Fund</w:t>
            </w:r>
            <w:r w:rsidRPr="001E451B">
              <w:rPr>
                <w:rFonts w:ascii="Arial" w:eastAsia="Calibri" w:hAnsi="Arial" w:cs="Arial"/>
                <w:b w:val="0"/>
                <w:sz w:val="22"/>
                <w:szCs w:val="22"/>
              </w:rPr>
              <w:t>).</w:t>
            </w:r>
          </w:p>
        </w:tc>
        <w:tc>
          <w:tcPr>
            <w:tcW w:w="2787" w:type="dxa"/>
            <w:vAlign w:val="center"/>
          </w:tcPr>
          <w:p w14:paraId="61E310C0" w14:textId="77777777" w:rsidR="00F36280" w:rsidRPr="001E451B" w:rsidRDefault="00F36280" w:rsidP="00F55092">
            <w:pPr>
              <w:jc w:val="both"/>
              <w:rPr>
                <w:rFonts w:ascii="Arial" w:hAnsi="Arial" w:cs="Arial"/>
              </w:rPr>
            </w:pPr>
            <w:r w:rsidRPr="001E451B">
              <w:rPr>
                <w:rFonts w:ascii="Arial" w:hAnsi="Arial" w:cs="Arial"/>
              </w:rPr>
              <w:t>No se ha establecido destinación específica.</w:t>
            </w:r>
          </w:p>
        </w:tc>
      </w:tr>
      <w:tr w:rsidR="00F36280" w:rsidRPr="001E451B" w14:paraId="62C285FB" w14:textId="77777777" w:rsidTr="005B5FC0">
        <w:trPr>
          <w:trHeight w:val="20"/>
        </w:trPr>
        <w:tc>
          <w:tcPr>
            <w:tcW w:w="9876" w:type="dxa"/>
            <w:gridSpan w:val="3"/>
            <w:shd w:val="clear" w:color="auto" w:fill="D9D9D9" w:themeFill="background1" w:themeFillShade="D9"/>
            <w:vAlign w:val="center"/>
          </w:tcPr>
          <w:p w14:paraId="165555A0" w14:textId="77777777" w:rsidR="00F36280" w:rsidRPr="001E451B" w:rsidRDefault="00F36280" w:rsidP="00F55092">
            <w:pPr>
              <w:jc w:val="center"/>
              <w:rPr>
                <w:rFonts w:ascii="Arial" w:hAnsi="Arial" w:cs="Arial"/>
                <w:b/>
                <w:i/>
              </w:rPr>
            </w:pPr>
            <w:r w:rsidRPr="001E451B">
              <w:rPr>
                <w:rFonts w:ascii="Arial" w:hAnsi="Arial" w:cs="Arial"/>
                <w:b/>
                <w:i/>
              </w:rPr>
              <w:t>Prevención</w:t>
            </w:r>
          </w:p>
        </w:tc>
      </w:tr>
      <w:tr w:rsidR="00F36280" w:rsidRPr="001E451B" w14:paraId="1E89F0FE" w14:textId="77777777" w:rsidTr="005B5FC0">
        <w:trPr>
          <w:trHeight w:val="20"/>
        </w:trPr>
        <w:tc>
          <w:tcPr>
            <w:tcW w:w="2978" w:type="dxa"/>
            <w:vAlign w:val="center"/>
          </w:tcPr>
          <w:p w14:paraId="5B9AEA7D" w14:textId="77777777" w:rsidR="00F36280" w:rsidRPr="001E451B" w:rsidRDefault="00F36280" w:rsidP="00F55092">
            <w:pPr>
              <w:jc w:val="both"/>
              <w:rPr>
                <w:rFonts w:ascii="Arial" w:hAnsi="Arial" w:cs="Arial"/>
              </w:rPr>
            </w:pPr>
            <w:r w:rsidRPr="001E451B">
              <w:rPr>
                <w:rFonts w:ascii="Arial" w:eastAsia="Calibri" w:hAnsi="Arial" w:cs="Arial"/>
              </w:rPr>
              <w:t>Disciplina obligatoria en el Sistema Nacional de Educación Pública.</w:t>
            </w:r>
          </w:p>
        </w:tc>
        <w:tc>
          <w:tcPr>
            <w:tcW w:w="4111" w:type="dxa"/>
            <w:vAlign w:val="center"/>
          </w:tcPr>
          <w:p w14:paraId="6122A45C" w14:textId="77777777" w:rsidR="00F36280" w:rsidRPr="001E451B" w:rsidRDefault="00F36280" w:rsidP="00F55092">
            <w:pPr>
              <w:jc w:val="both"/>
              <w:rPr>
                <w:rFonts w:ascii="Arial" w:hAnsi="Arial" w:cs="Arial"/>
              </w:rPr>
            </w:pPr>
            <w:r w:rsidRPr="001E451B">
              <w:rPr>
                <w:rFonts w:ascii="Arial" w:eastAsia="Calibri" w:hAnsi="Arial" w:cs="Arial"/>
              </w:rPr>
              <w:t>Integrada en los programas de prevención de alcohol, tabaco, drogas ilegalizadas y otras sustancias.</w:t>
            </w:r>
          </w:p>
        </w:tc>
        <w:tc>
          <w:tcPr>
            <w:tcW w:w="2787" w:type="dxa"/>
            <w:vAlign w:val="center"/>
          </w:tcPr>
          <w:p w14:paraId="09084D4B" w14:textId="77777777" w:rsidR="00F36280" w:rsidRPr="001E451B" w:rsidRDefault="00F36280" w:rsidP="00F55092">
            <w:pPr>
              <w:jc w:val="both"/>
              <w:rPr>
                <w:rFonts w:ascii="Arial" w:hAnsi="Arial" w:cs="Arial"/>
              </w:rPr>
            </w:pPr>
            <w:r w:rsidRPr="001E451B">
              <w:rPr>
                <w:rFonts w:ascii="Arial" w:hAnsi="Arial" w:cs="Arial"/>
              </w:rPr>
              <w:t>Programas dirigidos por el Ministerio de Salud canadiense en la prevención y uso responsable de las sustancias psicoactivas.</w:t>
            </w:r>
          </w:p>
        </w:tc>
      </w:tr>
    </w:tbl>
    <w:p w14:paraId="2CEF0356" w14:textId="77777777" w:rsidR="00F36280" w:rsidRPr="00F05A4B" w:rsidRDefault="00F36280" w:rsidP="00F55092">
      <w:pPr>
        <w:ind w:left="-426"/>
        <w:rPr>
          <w:rFonts w:ascii="Arial" w:eastAsia="Calibri" w:hAnsi="Arial" w:cs="Arial"/>
          <w:sz w:val="24"/>
          <w:szCs w:val="24"/>
        </w:rPr>
      </w:pPr>
      <w:r w:rsidRPr="00F05A4B">
        <w:rPr>
          <w:rFonts w:ascii="Arial" w:eastAsia="Calibri" w:hAnsi="Arial" w:cs="Arial"/>
          <w:sz w:val="24"/>
          <w:szCs w:val="24"/>
        </w:rPr>
        <w:t>Fuente: UTL-Juan Fernando Reyes Kuri</w:t>
      </w:r>
    </w:p>
    <w:p w14:paraId="3CDCB7E2" w14:textId="77777777" w:rsidR="00F36280" w:rsidRPr="00F05A4B" w:rsidRDefault="00F36280" w:rsidP="00F55092">
      <w:pPr>
        <w:rPr>
          <w:rFonts w:ascii="Arial" w:eastAsia="Calibri" w:hAnsi="Arial" w:cs="Arial"/>
          <w:sz w:val="24"/>
          <w:szCs w:val="24"/>
        </w:rPr>
      </w:pPr>
    </w:p>
    <w:p w14:paraId="7A872886" w14:textId="77777777" w:rsidR="00F36280" w:rsidRPr="00F05A4B" w:rsidRDefault="00F36280" w:rsidP="00F55092">
      <w:pPr>
        <w:jc w:val="center"/>
        <w:rPr>
          <w:rFonts w:ascii="Arial" w:eastAsia="Calibri" w:hAnsi="Arial" w:cs="Arial"/>
          <w:b/>
          <w:sz w:val="24"/>
          <w:szCs w:val="24"/>
        </w:rPr>
      </w:pPr>
      <w:r w:rsidRPr="00F05A4B">
        <w:rPr>
          <w:rFonts w:ascii="Arial" w:eastAsia="Calibri" w:hAnsi="Arial" w:cs="Arial"/>
          <w:b/>
          <w:sz w:val="24"/>
          <w:szCs w:val="24"/>
        </w:rPr>
        <w:t>Tabla 2. Medidas implementadas</w:t>
      </w:r>
    </w:p>
    <w:p w14:paraId="2E2A8B33" w14:textId="77777777" w:rsidR="00F36280" w:rsidRPr="00F05A4B" w:rsidRDefault="00F36280" w:rsidP="00F55092">
      <w:pPr>
        <w:jc w:val="center"/>
        <w:rPr>
          <w:rFonts w:ascii="Arial" w:eastAsia="Calibri" w:hAnsi="Arial" w:cs="Arial"/>
          <w:b/>
          <w:sz w:val="24"/>
          <w:szCs w:val="24"/>
        </w:rPr>
      </w:pPr>
    </w:p>
    <w:tbl>
      <w:tblPr>
        <w:tblStyle w:val="Tablaconcuadrcula"/>
        <w:tblW w:w="9924" w:type="dxa"/>
        <w:tblInd w:w="-431" w:type="dxa"/>
        <w:tblLook w:val="04A0" w:firstRow="1" w:lastRow="0" w:firstColumn="1" w:lastColumn="0" w:noHBand="0" w:noVBand="1"/>
      </w:tblPr>
      <w:tblGrid>
        <w:gridCol w:w="5104"/>
        <w:gridCol w:w="4820"/>
      </w:tblGrid>
      <w:tr w:rsidR="00F36280" w:rsidRPr="001E451B" w14:paraId="51C5560D" w14:textId="77777777" w:rsidTr="005B5FC0">
        <w:trPr>
          <w:trHeight w:val="305"/>
        </w:trPr>
        <w:tc>
          <w:tcPr>
            <w:tcW w:w="5104" w:type="dxa"/>
            <w:shd w:val="clear" w:color="auto" w:fill="BFBFBF" w:themeFill="background1" w:themeFillShade="BF"/>
          </w:tcPr>
          <w:p w14:paraId="312AFA5F" w14:textId="77777777" w:rsidR="00F36280" w:rsidRPr="001E451B" w:rsidRDefault="00F36280" w:rsidP="00F55092">
            <w:pPr>
              <w:jc w:val="center"/>
              <w:rPr>
                <w:rFonts w:ascii="Arial" w:hAnsi="Arial" w:cs="Arial"/>
                <w:b/>
              </w:rPr>
            </w:pPr>
            <w:r w:rsidRPr="001E451B">
              <w:rPr>
                <w:rFonts w:ascii="Arial" w:hAnsi="Arial" w:cs="Arial"/>
                <w:b/>
              </w:rPr>
              <w:t>URUGUAY</w:t>
            </w:r>
          </w:p>
        </w:tc>
        <w:tc>
          <w:tcPr>
            <w:tcW w:w="4820" w:type="dxa"/>
            <w:shd w:val="clear" w:color="auto" w:fill="BFBFBF" w:themeFill="background1" w:themeFillShade="BF"/>
          </w:tcPr>
          <w:p w14:paraId="58D3D5FE" w14:textId="77777777" w:rsidR="00F36280" w:rsidRPr="001E451B" w:rsidRDefault="00F36280" w:rsidP="00F55092">
            <w:pPr>
              <w:jc w:val="center"/>
              <w:rPr>
                <w:rFonts w:ascii="Arial" w:hAnsi="Arial" w:cs="Arial"/>
                <w:b/>
              </w:rPr>
            </w:pPr>
            <w:r w:rsidRPr="001E451B">
              <w:rPr>
                <w:rFonts w:ascii="Arial" w:hAnsi="Arial" w:cs="Arial"/>
                <w:b/>
              </w:rPr>
              <w:t>COLORADO - EEUU</w:t>
            </w:r>
          </w:p>
        </w:tc>
      </w:tr>
      <w:tr w:rsidR="00F36280" w:rsidRPr="001E451B" w14:paraId="382318C5" w14:textId="77777777" w:rsidTr="005B5FC0">
        <w:trPr>
          <w:trHeight w:val="288"/>
        </w:trPr>
        <w:tc>
          <w:tcPr>
            <w:tcW w:w="5104" w:type="dxa"/>
          </w:tcPr>
          <w:p w14:paraId="1A831654" w14:textId="77777777" w:rsidR="00F36280" w:rsidRPr="001E451B" w:rsidRDefault="00F36280" w:rsidP="00F55092">
            <w:pPr>
              <w:jc w:val="both"/>
              <w:rPr>
                <w:rFonts w:ascii="Arial" w:hAnsi="Arial" w:cs="Arial"/>
              </w:rPr>
            </w:pPr>
            <w:r w:rsidRPr="001E451B">
              <w:rPr>
                <w:rFonts w:ascii="Arial" w:eastAsia="Calibri" w:hAnsi="Arial" w:cs="Arial"/>
              </w:rPr>
              <w:t>Regulación ley.</w:t>
            </w:r>
          </w:p>
        </w:tc>
        <w:tc>
          <w:tcPr>
            <w:tcW w:w="4820" w:type="dxa"/>
          </w:tcPr>
          <w:p w14:paraId="31FC53AE" w14:textId="77777777" w:rsidR="00F36280" w:rsidRPr="001E451B" w:rsidRDefault="00F36280" w:rsidP="00F55092">
            <w:pPr>
              <w:jc w:val="both"/>
              <w:rPr>
                <w:rFonts w:ascii="Arial" w:hAnsi="Arial" w:cs="Arial"/>
              </w:rPr>
            </w:pPr>
            <w:r w:rsidRPr="001E451B">
              <w:rPr>
                <w:rFonts w:ascii="Arial" w:eastAsia="Calibri" w:hAnsi="Arial" w:cs="Arial"/>
              </w:rPr>
              <w:t>Regulación de delitos cannabis</w:t>
            </w:r>
          </w:p>
        </w:tc>
      </w:tr>
      <w:tr w:rsidR="00F36280" w:rsidRPr="001E451B" w14:paraId="490584A1" w14:textId="77777777" w:rsidTr="005B5FC0">
        <w:trPr>
          <w:trHeight w:val="305"/>
        </w:trPr>
        <w:tc>
          <w:tcPr>
            <w:tcW w:w="5104" w:type="dxa"/>
          </w:tcPr>
          <w:p w14:paraId="357A203F" w14:textId="77777777" w:rsidR="00F36280" w:rsidRPr="001E451B" w:rsidRDefault="00F36280" w:rsidP="00F55092">
            <w:pPr>
              <w:jc w:val="both"/>
              <w:rPr>
                <w:rFonts w:ascii="Arial" w:hAnsi="Arial" w:cs="Arial"/>
              </w:rPr>
            </w:pPr>
            <w:r w:rsidRPr="001E451B">
              <w:rPr>
                <w:rFonts w:ascii="Arial" w:eastAsia="Calibri" w:hAnsi="Arial" w:cs="Arial"/>
              </w:rPr>
              <w:t>Puesta en marcha de Sistemas de monitoreo y evaluación de la implementación de la ley</w:t>
            </w:r>
          </w:p>
        </w:tc>
        <w:tc>
          <w:tcPr>
            <w:tcW w:w="4820" w:type="dxa"/>
          </w:tcPr>
          <w:p w14:paraId="2933F332" w14:textId="77777777" w:rsidR="00F36280" w:rsidRPr="001E451B" w:rsidRDefault="00F36280" w:rsidP="00F55092">
            <w:pPr>
              <w:jc w:val="both"/>
              <w:rPr>
                <w:rFonts w:ascii="Arial" w:hAnsi="Arial" w:cs="Arial"/>
              </w:rPr>
            </w:pPr>
            <w:r w:rsidRPr="001E451B">
              <w:rPr>
                <w:rFonts w:ascii="Arial" w:eastAsia="Calibri" w:hAnsi="Arial" w:cs="Arial"/>
              </w:rPr>
              <w:t>Regulación de establecimientos</w:t>
            </w:r>
          </w:p>
        </w:tc>
      </w:tr>
      <w:tr w:rsidR="00F36280" w:rsidRPr="001E451B" w14:paraId="3866D752" w14:textId="77777777" w:rsidTr="005B5FC0">
        <w:trPr>
          <w:trHeight w:val="288"/>
        </w:trPr>
        <w:tc>
          <w:tcPr>
            <w:tcW w:w="5104" w:type="dxa"/>
          </w:tcPr>
          <w:p w14:paraId="73BDE88E" w14:textId="77777777" w:rsidR="00F36280" w:rsidRPr="001E451B" w:rsidRDefault="00F36280" w:rsidP="00F55092">
            <w:pPr>
              <w:jc w:val="both"/>
              <w:rPr>
                <w:rFonts w:ascii="Arial" w:hAnsi="Arial" w:cs="Arial"/>
              </w:rPr>
            </w:pPr>
            <w:r w:rsidRPr="001E451B">
              <w:rPr>
                <w:rFonts w:ascii="Arial" w:eastAsia="Calibri" w:hAnsi="Arial" w:cs="Arial"/>
              </w:rPr>
              <w:t>Formación fuerzas seguridad aduanas</w:t>
            </w:r>
          </w:p>
        </w:tc>
        <w:tc>
          <w:tcPr>
            <w:tcW w:w="4820" w:type="dxa"/>
          </w:tcPr>
          <w:p w14:paraId="578F8825" w14:textId="77777777" w:rsidR="00F36280" w:rsidRPr="001E451B" w:rsidRDefault="00F36280" w:rsidP="00F55092">
            <w:pPr>
              <w:jc w:val="both"/>
              <w:rPr>
                <w:rFonts w:ascii="Arial" w:hAnsi="Arial" w:cs="Arial"/>
              </w:rPr>
            </w:pPr>
            <w:r w:rsidRPr="001E451B">
              <w:rPr>
                <w:rFonts w:ascii="Arial" w:eastAsia="Calibri" w:hAnsi="Arial" w:cs="Arial"/>
              </w:rPr>
              <w:t>Regulación de impuestos</w:t>
            </w:r>
          </w:p>
        </w:tc>
      </w:tr>
      <w:tr w:rsidR="00F36280" w:rsidRPr="001E451B" w14:paraId="0CD9792E" w14:textId="77777777" w:rsidTr="005B5FC0">
        <w:trPr>
          <w:trHeight w:val="305"/>
        </w:trPr>
        <w:tc>
          <w:tcPr>
            <w:tcW w:w="5104" w:type="dxa"/>
          </w:tcPr>
          <w:p w14:paraId="5C5F437F" w14:textId="77777777" w:rsidR="00F36280" w:rsidRPr="001E451B" w:rsidRDefault="00F36280" w:rsidP="00F55092">
            <w:pPr>
              <w:jc w:val="both"/>
              <w:rPr>
                <w:rFonts w:ascii="Arial" w:hAnsi="Arial" w:cs="Arial"/>
              </w:rPr>
            </w:pPr>
            <w:r w:rsidRPr="001E451B">
              <w:rPr>
                <w:rFonts w:ascii="Arial" w:eastAsia="Calibri" w:hAnsi="Arial" w:cs="Arial"/>
              </w:rPr>
              <w:t>Creación programa de capacitación especializada en política de drogas y carrera especializada en políticas de drogas.</w:t>
            </w:r>
          </w:p>
        </w:tc>
        <w:tc>
          <w:tcPr>
            <w:tcW w:w="4820" w:type="dxa"/>
          </w:tcPr>
          <w:p w14:paraId="4DAD4FC1" w14:textId="77777777" w:rsidR="00F36280" w:rsidRPr="001E451B" w:rsidRDefault="00F36280" w:rsidP="00F55092">
            <w:pPr>
              <w:jc w:val="both"/>
              <w:rPr>
                <w:rFonts w:ascii="Arial" w:hAnsi="Arial" w:cs="Arial"/>
              </w:rPr>
            </w:pPr>
            <w:r w:rsidRPr="001E451B">
              <w:rPr>
                <w:rFonts w:ascii="Arial" w:eastAsia="Calibri" w:hAnsi="Arial" w:cs="Arial"/>
              </w:rPr>
              <w:t>Regulación de penas por conducir bajo efectos cannabis</w:t>
            </w:r>
          </w:p>
        </w:tc>
      </w:tr>
      <w:tr w:rsidR="00F36280" w:rsidRPr="001E451B" w14:paraId="27EC28FA" w14:textId="77777777" w:rsidTr="005B5FC0">
        <w:trPr>
          <w:trHeight w:val="288"/>
        </w:trPr>
        <w:tc>
          <w:tcPr>
            <w:tcW w:w="5104" w:type="dxa"/>
          </w:tcPr>
          <w:p w14:paraId="0E0A99EE" w14:textId="77777777" w:rsidR="00F36280" w:rsidRPr="001E451B" w:rsidRDefault="00F36280" w:rsidP="00F55092">
            <w:pPr>
              <w:jc w:val="both"/>
              <w:rPr>
                <w:rFonts w:ascii="Arial" w:hAnsi="Arial" w:cs="Arial"/>
              </w:rPr>
            </w:pPr>
            <w:r w:rsidRPr="001E451B">
              <w:rPr>
                <w:rFonts w:ascii="Arial" w:eastAsia="Calibri" w:hAnsi="Arial" w:cs="Arial"/>
              </w:rPr>
              <w:t>Ensayo clínico uso cannabis para deshabituación pasta base</w:t>
            </w:r>
          </w:p>
        </w:tc>
        <w:tc>
          <w:tcPr>
            <w:tcW w:w="4820" w:type="dxa"/>
          </w:tcPr>
          <w:p w14:paraId="47BFE620" w14:textId="77777777" w:rsidR="00F36280" w:rsidRPr="001E451B" w:rsidRDefault="00F36280" w:rsidP="00F55092">
            <w:pPr>
              <w:jc w:val="both"/>
              <w:rPr>
                <w:rFonts w:ascii="Arial" w:hAnsi="Arial" w:cs="Arial"/>
              </w:rPr>
            </w:pPr>
            <w:r w:rsidRPr="001E451B">
              <w:rPr>
                <w:rFonts w:ascii="Arial" w:eastAsia="Calibri" w:hAnsi="Arial" w:cs="Arial"/>
              </w:rPr>
              <w:t>Regulación de Estudios sobre efectos cannabis en la salud y sobre acciones y gastos de represión.</w:t>
            </w:r>
          </w:p>
        </w:tc>
      </w:tr>
    </w:tbl>
    <w:p w14:paraId="29ECC002" w14:textId="77777777" w:rsidR="00F36280" w:rsidRPr="00F05A4B" w:rsidRDefault="00F36280" w:rsidP="00F55092">
      <w:pPr>
        <w:ind w:left="-426"/>
        <w:rPr>
          <w:rFonts w:ascii="Arial" w:eastAsia="Calibri" w:hAnsi="Arial" w:cs="Arial"/>
          <w:sz w:val="24"/>
          <w:szCs w:val="24"/>
        </w:rPr>
      </w:pPr>
      <w:r w:rsidRPr="00F05A4B">
        <w:rPr>
          <w:rFonts w:ascii="Arial" w:eastAsia="Calibri" w:hAnsi="Arial" w:cs="Arial"/>
          <w:sz w:val="24"/>
          <w:szCs w:val="24"/>
        </w:rPr>
        <w:t>Fuente: UTL-Juan Fernando Reyes Kuri</w:t>
      </w:r>
    </w:p>
    <w:p w14:paraId="7A8EE79D" w14:textId="77777777" w:rsidR="00F36280" w:rsidRPr="00F05A4B" w:rsidRDefault="00F36280" w:rsidP="00F55092">
      <w:pPr>
        <w:ind w:left="-426"/>
        <w:rPr>
          <w:rFonts w:ascii="Arial" w:eastAsia="Calibri" w:hAnsi="Arial" w:cs="Arial"/>
          <w:sz w:val="24"/>
          <w:szCs w:val="24"/>
        </w:rPr>
      </w:pPr>
    </w:p>
    <w:p w14:paraId="57585889" w14:textId="20299467" w:rsidR="00F36280" w:rsidRPr="00F05A4B" w:rsidRDefault="00F36280" w:rsidP="00F55092">
      <w:pPr>
        <w:ind w:left="-426"/>
        <w:rPr>
          <w:rFonts w:ascii="Arial" w:eastAsia="Calibri" w:hAnsi="Arial" w:cs="Arial"/>
          <w:b/>
          <w:bCs/>
          <w:sz w:val="24"/>
          <w:szCs w:val="24"/>
        </w:rPr>
      </w:pPr>
      <w:r w:rsidRPr="00F05A4B">
        <w:rPr>
          <w:rFonts w:ascii="Arial" w:eastAsia="Calibri" w:hAnsi="Arial" w:cs="Arial"/>
          <w:b/>
          <w:bCs/>
          <w:sz w:val="24"/>
          <w:szCs w:val="24"/>
        </w:rPr>
        <w:t>3.2.1 IMPACTO ECONÓMICO DE LA REGULACIÓN</w:t>
      </w:r>
      <w:r w:rsidR="00DB66BE" w:rsidRPr="00F05A4B">
        <w:rPr>
          <w:rFonts w:ascii="Arial" w:eastAsia="Calibri" w:hAnsi="Arial" w:cs="Arial"/>
          <w:b/>
          <w:bCs/>
          <w:sz w:val="24"/>
          <w:szCs w:val="24"/>
        </w:rPr>
        <w:t xml:space="preserve"> EN EL CASO</w:t>
      </w:r>
      <w:r w:rsidRPr="00F05A4B">
        <w:rPr>
          <w:rFonts w:ascii="Arial" w:eastAsia="Calibri" w:hAnsi="Arial" w:cs="Arial"/>
          <w:b/>
          <w:bCs/>
          <w:sz w:val="24"/>
          <w:szCs w:val="24"/>
        </w:rPr>
        <w:t xml:space="preserve"> INTERNACIONAL</w:t>
      </w:r>
    </w:p>
    <w:p w14:paraId="73496C30" w14:textId="77777777" w:rsidR="00F36280" w:rsidRPr="00F05A4B" w:rsidRDefault="00F36280" w:rsidP="00F55092">
      <w:pPr>
        <w:rPr>
          <w:rFonts w:ascii="Arial" w:hAnsi="Arial" w:cs="Arial"/>
          <w:sz w:val="24"/>
          <w:szCs w:val="24"/>
        </w:rPr>
      </w:pPr>
    </w:p>
    <w:p w14:paraId="62C86745"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Diferentes aspectos económicos muestran que la regulación del uso recreativo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terminar con el mercado negro e ilegal y aliviar el sistema carcelario y judicial y, convertir este flagelo en una política encaminada al desarrollo sostenible del país.</w:t>
      </w:r>
    </w:p>
    <w:p w14:paraId="3D2EA965"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 xml:space="preserve"> </w:t>
      </w:r>
    </w:p>
    <w:p w14:paraId="42254DAD" w14:textId="5C57E130" w:rsidR="00F36280" w:rsidRPr="00F05A4B" w:rsidRDefault="00F36280" w:rsidP="00F55092">
      <w:pPr>
        <w:pStyle w:val="Ttulo1"/>
        <w:jc w:val="both"/>
        <w:rPr>
          <w:rFonts w:ascii="Arial" w:hAnsi="Arial" w:cs="Arial"/>
          <w:b w:val="0"/>
          <w:sz w:val="24"/>
          <w:szCs w:val="24"/>
        </w:rPr>
      </w:pPr>
      <w:bookmarkStart w:id="1" w:name="_Toc5023208"/>
      <w:r w:rsidRPr="00F05A4B">
        <w:rPr>
          <w:rFonts w:ascii="Arial" w:hAnsi="Arial" w:cs="Arial"/>
          <w:b w:val="0"/>
          <w:sz w:val="24"/>
          <w:szCs w:val="24"/>
        </w:rPr>
        <w:t>Así como el alcohol y el tabaco están regulados y pagan impuesto, los impuestos al consumo del cannabis pueden ser una fuente de financiación para Programas Sociales, de Salud y de Prevención de Abuso de Sustancias</w:t>
      </w:r>
      <w:bookmarkEnd w:id="1"/>
      <w:r w:rsidRPr="00F05A4B">
        <w:rPr>
          <w:rFonts w:ascii="Arial" w:hAnsi="Arial" w:cs="Arial"/>
          <w:b w:val="0"/>
          <w:sz w:val="24"/>
          <w:szCs w:val="24"/>
        </w:rPr>
        <w:t>.</w:t>
      </w:r>
    </w:p>
    <w:p w14:paraId="2C21B25A" w14:textId="77777777" w:rsidR="00F36280" w:rsidRPr="00F05A4B" w:rsidRDefault="00F36280" w:rsidP="00F55092">
      <w:pPr>
        <w:pStyle w:val="Ttulo1"/>
        <w:jc w:val="both"/>
        <w:rPr>
          <w:rFonts w:ascii="Arial" w:hAnsi="Arial" w:cs="Arial"/>
          <w:b w:val="0"/>
          <w:sz w:val="24"/>
          <w:szCs w:val="24"/>
        </w:rPr>
      </w:pPr>
    </w:p>
    <w:p w14:paraId="23C3EBA2" w14:textId="77777777" w:rsidR="00F36280" w:rsidRPr="00F05A4B" w:rsidRDefault="00F36280" w:rsidP="00F55092">
      <w:pPr>
        <w:pStyle w:val="Ttulo1"/>
        <w:jc w:val="both"/>
        <w:rPr>
          <w:rFonts w:ascii="Arial" w:hAnsi="Arial" w:cs="Arial"/>
          <w:b w:val="0"/>
          <w:sz w:val="24"/>
          <w:szCs w:val="24"/>
        </w:rPr>
      </w:pPr>
      <w:r w:rsidRPr="00F05A4B">
        <w:rPr>
          <w:rFonts w:ascii="Arial" w:hAnsi="Arial" w:cs="Arial"/>
          <w:b w:val="0"/>
          <w:sz w:val="24"/>
          <w:szCs w:val="24"/>
        </w:rPr>
        <w:t>En Estados Unidos, en los Estados de Colorado, Washington, Oregón y Alaska, hoy los ingresos por los impuestos en este tema se encuentran por encima de los valores que habían estimado. Como lo muestra el reporte del Drug Policy Alliance (Alianza para Políticas de Drogas) de 2018</w:t>
      </w:r>
      <w:r w:rsidRPr="00F05A4B">
        <w:rPr>
          <w:rStyle w:val="Refdenotaalpie"/>
          <w:rFonts w:ascii="Arial" w:hAnsi="Arial" w:cs="Arial"/>
          <w:b w:val="0"/>
          <w:sz w:val="24"/>
          <w:szCs w:val="24"/>
        </w:rPr>
        <w:footnoteReference w:id="7"/>
      </w:r>
      <w:r w:rsidRPr="00F05A4B">
        <w:rPr>
          <w:rFonts w:ascii="Arial" w:hAnsi="Arial" w:cs="Arial"/>
          <w:b w:val="0"/>
          <w:sz w:val="24"/>
          <w:szCs w:val="24"/>
        </w:rPr>
        <w:t>, los impuestos recaudados por las ventas de marihuana:</w:t>
      </w:r>
    </w:p>
    <w:p w14:paraId="2E335D86" w14:textId="77777777" w:rsidR="00F36280" w:rsidRPr="00F05A4B" w:rsidRDefault="00F36280" w:rsidP="00F55092">
      <w:pPr>
        <w:rPr>
          <w:rFonts w:ascii="Arial" w:hAnsi="Arial" w:cs="Arial"/>
          <w:sz w:val="24"/>
          <w:szCs w:val="24"/>
        </w:rPr>
      </w:pPr>
    </w:p>
    <w:p w14:paraId="6E2BDDB4" w14:textId="701720F9" w:rsidR="00F36280" w:rsidRPr="001E451B" w:rsidRDefault="00F36280" w:rsidP="001E451B">
      <w:pPr>
        <w:pStyle w:val="Prrafodelista"/>
        <w:numPr>
          <w:ilvl w:val="0"/>
          <w:numId w:val="7"/>
        </w:numPr>
        <w:spacing w:after="0" w:line="240" w:lineRule="auto"/>
        <w:jc w:val="both"/>
        <w:rPr>
          <w:rFonts w:ascii="Arial" w:hAnsi="Arial" w:cs="Arial"/>
          <w:sz w:val="24"/>
          <w:szCs w:val="24"/>
        </w:rPr>
      </w:pPr>
      <w:r w:rsidRPr="00F05A4B">
        <w:rPr>
          <w:rFonts w:ascii="Arial" w:hAnsi="Arial" w:cs="Arial"/>
          <w:sz w:val="24"/>
          <w:szCs w:val="24"/>
        </w:rPr>
        <w:t>En Washington generaron ingresos por USD $315 millones en el año fiscal 2016-2017.</w:t>
      </w:r>
    </w:p>
    <w:p w14:paraId="28E024F1" w14:textId="721D954B" w:rsidR="00F36280" w:rsidRPr="001E451B" w:rsidRDefault="00F36280" w:rsidP="00F55092">
      <w:pPr>
        <w:pStyle w:val="Prrafodelista"/>
        <w:numPr>
          <w:ilvl w:val="0"/>
          <w:numId w:val="7"/>
        </w:numPr>
        <w:spacing w:after="0" w:line="240" w:lineRule="auto"/>
        <w:jc w:val="both"/>
        <w:rPr>
          <w:rFonts w:ascii="Arial" w:hAnsi="Arial" w:cs="Arial"/>
          <w:sz w:val="24"/>
          <w:szCs w:val="24"/>
        </w:rPr>
      </w:pPr>
      <w:r w:rsidRPr="00F05A4B">
        <w:rPr>
          <w:rFonts w:ascii="Arial" w:hAnsi="Arial" w:cs="Arial"/>
          <w:sz w:val="24"/>
          <w:szCs w:val="24"/>
        </w:rPr>
        <w:t>En Colorado las ventas generaron USD $600 millones desde 2014.</w:t>
      </w:r>
    </w:p>
    <w:p w14:paraId="39F5FA88" w14:textId="77777777" w:rsidR="00F36280" w:rsidRPr="00F05A4B" w:rsidRDefault="00F36280" w:rsidP="00F55092">
      <w:pPr>
        <w:pStyle w:val="Prrafodelista"/>
        <w:numPr>
          <w:ilvl w:val="0"/>
          <w:numId w:val="7"/>
        </w:numPr>
        <w:spacing w:after="0" w:line="240" w:lineRule="auto"/>
        <w:jc w:val="both"/>
        <w:rPr>
          <w:rFonts w:ascii="Arial" w:hAnsi="Arial" w:cs="Arial"/>
          <w:sz w:val="24"/>
          <w:szCs w:val="24"/>
        </w:rPr>
      </w:pPr>
      <w:r w:rsidRPr="00F05A4B">
        <w:rPr>
          <w:rFonts w:ascii="Arial" w:hAnsi="Arial" w:cs="Arial"/>
          <w:sz w:val="24"/>
          <w:szCs w:val="24"/>
        </w:rPr>
        <w:t>En Oregón, se recaudaron en el periodo fiscal 2016-2017 USD $70 millones, el doble de lo presupuestado inicialmente.</w:t>
      </w:r>
    </w:p>
    <w:p w14:paraId="2C990A1A" w14:textId="77777777" w:rsidR="00F36280" w:rsidRPr="00F05A4B" w:rsidRDefault="00F36280" w:rsidP="00F55092">
      <w:pPr>
        <w:jc w:val="both"/>
        <w:rPr>
          <w:rFonts w:ascii="Arial" w:hAnsi="Arial" w:cs="Arial"/>
          <w:sz w:val="24"/>
          <w:szCs w:val="24"/>
        </w:rPr>
      </w:pPr>
    </w:p>
    <w:p w14:paraId="062540FE"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Estos nuevos ingresos han podido ser utilizados para la financiación de programas de educación y política social</w:t>
      </w:r>
      <w:r w:rsidRPr="00F05A4B">
        <w:rPr>
          <w:rStyle w:val="Refdenotaalpie"/>
          <w:rFonts w:ascii="Arial" w:hAnsi="Arial" w:cs="Arial"/>
          <w:sz w:val="24"/>
          <w:szCs w:val="24"/>
        </w:rPr>
        <w:footnoteReference w:id="8"/>
      </w:r>
      <w:r w:rsidRPr="00F05A4B">
        <w:rPr>
          <w:rFonts w:ascii="Arial" w:hAnsi="Arial" w:cs="Arial"/>
          <w:sz w:val="24"/>
          <w:szCs w:val="24"/>
        </w:rPr>
        <w:t>:</w:t>
      </w:r>
    </w:p>
    <w:p w14:paraId="5E3B16EE" w14:textId="77777777" w:rsidR="00F36280" w:rsidRPr="00F05A4B" w:rsidRDefault="00F36280" w:rsidP="00F55092">
      <w:pPr>
        <w:jc w:val="both"/>
        <w:rPr>
          <w:rFonts w:ascii="Arial" w:hAnsi="Arial" w:cs="Arial"/>
          <w:sz w:val="24"/>
          <w:szCs w:val="24"/>
        </w:rPr>
      </w:pPr>
    </w:p>
    <w:p w14:paraId="1BEB8D51" w14:textId="77777777" w:rsidR="00F36280" w:rsidRPr="00F05A4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Colorado distribuyó USD $230 millones al Departamento de Educación entre 2015 y 2017, para financiar la construcción de escuelas, programas de alfabetización temprana y de prevención del matoneo.</w:t>
      </w:r>
    </w:p>
    <w:p w14:paraId="369922A2" w14:textId="77777777" w:rsidR="00F36280" w:rsidRPr="00F05A4B" w:rsidRDefault="00F36280" w:rsidP="00F55092">
      <w:pPr>
        <w:pStyle w:val="Prrafodelista"/>
        <w:spacing w:after="0" w:line="240" w:lineRule="auto"/>
        <w:jc w:val="both"/>
        <w:rPr>
          <w:rFonts w:ascii="Arial" w:hAnsi="Arial" w:cs="Arial"/>
          <w:sz w:val="24"/>
          <w:szCs w:val="24"/>
        </w:rPr>
      </w:pPr>
    </w:p>
    <w:p w14:paraId="45DBFCE9" w14:textId="64D79DF6" w:rsidR="00F36280" w:rsidRPr="001E451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Oregón destina un 40% de los ingresos por impuestos a la marihuana para financiar el Fondo Estatal para las Escuelas y un 20% al tratamiento de adicciones al alcohol y las drogas.</w:t>
      </w:r>
    </w:p>
    <w:p w14:paraId="5A228D89" w14:textId="2EA4D146" w:rsidR="00F36280" w:rsidRPr="001E451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Nevada proyecta invertir el 15% de su recaudo en el Fondo Estatal para las Escuelas, lo cual se espera esté alrededor de USD $56 millones para los próximos dos años.</w:t>
      </w:r>
    </w:p>
    <w:p w14:paraId="66F7EC6B" w14:textId="64388433" w:rsidR="00F36280" w:rsidRPr="001E451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Washington destina el 25% de su recaudo para programas de tratamiento de abuso de substancias, la educación sobre éstas y prevención. Otro 55% se destina a financiar planes básicos de salud.</w:t>
      </w:r>
    </w:p>
    <w:p w14:paraId="34C2F608" w14:textId="14287F6D" w:rsidR="00F36280" w:rsidRPr="001E451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Se espera que, Alaska recoja USD $12 millones anuales que van a ser usados para financiar programas de tratamiento de adicción a las drogas y centros comunitarios residenciales.</w:t>
      </w:r>
    </w:p>
    <w:p w14:paraId="36655937" w14:textId="77777777" w:rsidR="00F36280" w:rsidRPr="00F05A4B" w:rsidRDefault="00F36280" w:rsidP="00F55092">
      <w:pPr>
        <w:pStyle w:val="Prrafodelista"/>
        <w:numPr>
          <w:ilvl w:val="0"/>
          <w:numId w:val="8"/>
        </w:numPr>
        <w:spacing w:after="0" w:line="240" w:lineRule="auto"/>
        <w:jc w:val="both"/>
        <w:rPr>
          <w:rFonts w:ascii="Arial" w:hAnsi="Arial" w:cs="Arial"/>
          <w:sz w:val="24"/>
          <w:szCs w:val="24"/>
        </w:rPr>
      </w:pPr>
      <w:r w:rsidRPr="00F05A4B">
        <w:rPr>
          <w:rFonts w:ascii="Arial" w:hAnsi="Arial" w:cs="Arial"/>
          <w:sz w:val="24"/>
          <w:szCs w:val="24"/>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91C5152" w14:textId="77777777" w:rsidR="00F36280" w:rsidRPr="00F05A4B" w:rsidRDefault="00F36280" w:rsidP="00F55092">
      <w:pPr>
        <w:jc w:val="both"/>
        <w:rPr>
          <w:rFonts w:ascii="Arial" w:hAnsi="Arial" w:cs="Arial"/>
          <w:sz w:val="24"/>
          <w:szCs w:val="24"/>
        </w:rPr>
      </w:pPr>
    </w:p>
    <w:p w14:paraId="7E68956C"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Lo anterior es importante verlo a la luz de las cifras de judicialización, el consumo de marihuana y salud en los Estados que han regulado el consumo recreativo, respecto al resto de los Estados en Estados Unidos que no lo han hecho. Por ejemplo:</w:t>
      </w:r>
    </w:p>
    <w:p w14:paraId="0D3939E3" w14:textId="77777777" w:rsidR="00F36280" w:rsidRPr="00F05A4B" w:rsidRDefault="00F36280" w:rsidP="00F55092">
      <w:pPr>
        <w:jc w:val="both"/>
        <w:rPr>
          <w:rFonts w:ascii="Arial" w:hAnsi="Arial" w:cs="Arial"/>
          <w:sz w:val="24"/>
          <w:szCs w:val="24"/>
        </w:rPr>
      </w:pPr>
    </w:p>
    <w:p w14:paraId="1302A377" w14:textId="7A77E34E" w:rsidR="00F36280" w:rsidRPr="001E451B" w:rsidRDefault="00F36280" w:rsidP="001E451B">
      <w:pPr>
        <w:pStyle w:val="Prrafodelista"/>
        <w:numPr>
          <w:ilvl w:val="0"/>
          <w:numId w:val="9"/>
        </w:numPr>
        <w:spacing w:after="0" w:line="240" w:lineRule="auto"/>
        <w:jc w:val="both"/>
        <w:rPr>
          <w:rFonts w:ascii="Arial" w:hAnsi="Arial" w:cs="Arial"/>
          <w:sz w:val="24"/>
          <w:szCs w:val="24"/>
        </w:rPr>
      </w:pPr>
      <w:r w:rsidRPr="00F05A4B">
        <w:rPr>
          <w:rFonts w:ascii="Arial" w:hAnsi="Arial" w:cs="Arial"/>
          <w:sz w:val="24"/>
          <w:szCs w:val="24"/>
        </w:rPr>
        <w:t>En los Estados donde fue regulada la marihuana bajaron significativamente los arrestos por posesión de drogas, ahorrándoles cientos de millones de dólares al Tesoro y antecedentes penales a las personas que los estigmatizarían de por vida.</w:t>
      </w:r>
      <w:r w:rsidRPr="00F05A4B">
        <w:rPr>
          <w:rStyle w:val="Refdenotaalpie"/>
          <w:rFonts w:ascii="Arial" w:hAnsi="Arial" w:cs="Arial"/>
          <w:sz w:val="24"/>
          <w:szCs w:val="24"/>
        </w:rPr>
        <w:footnoteReference w:id="9"/>
      </w:r>
    </w:p>
    <w:p w14:paraId="2095CC6A" w14:textId="116F5780" w:rsidR="00872387" w:rsidRPr="001E451B" w:rsidRDefault="00F36280" w:rsidP="00872387">
      <w:pPr>
        <w:pStyle w:val="Prrafodelista"/>
        <w:numPr>
          <w:ilvl w:val="0"/>
          <w:numId w:val="9"/>
        </w:numPr>
        <w:spacing w:after="0" w:line="240" w:lineRule="auto"/>
        <w:jc w:val="both"/>
        <w:rPr>
          <w:rFonts w:ascii="Arial" w:hAnsi="Arial" w:cs="Arial"/>
          <w:sz w:val="24"/>
          <w:szCs w:val="24"/>
        </w:rPr>
      </w:pPr>
      <w:r w:rsidRPr="00F05A4B">
        <w:rPr>
          <w:rFonts w:ascii="Arial" w:hAnsi="Arial" w:cs="Arial"/>
          <w:sz w:val="24"/>
          <w:szCs w:val="24"/>
        </w:rPr>
        <w:t>El consumo de marihuana entre jóvenes se ha mantenido estable en los Estados que la han regulado. En los Estados de Washington, Colorado y Alaska, la cifra de consumo de marihuana entre estudiantes de secundaria está en línea con el promedio nacional.</w:t>
      </w:r>
      <w:r w:rsidRPr="00F05A4B">
        <w:rPr>
          <w:rStyle w:val="Refdenotaalpie"/>
          <w:rFonts w:ascii="Arial" w:hAnsi="Arial" w:cs="Arial"/>
          <w:sz w:val="24"/>
          <w:szCs w:val="24"/>
        </w:rPr>
        <w:footnoteReference w:id="10"/>
      </w:r>
    </w:p>
    <w:p w14:paraId="6B5D7A94" w14:textId="0920DF2C" w:rsidR="00F36280" w:rsidRPr="001E451B" w:rsidRDefault="00F36280" w:rsidP="00F55092">
      <w:pPr>
        <w:pStyle w:val="Prrafodelista"/>
        <w:numPr>
          <w:ilvl w:val="0"/>
          <w:numId w:val="9"/>
        </w:numPr>
        <w:spacing w:after="0" w:line="240" w:lineRule="auto"/>
        <w:jc w:val="both"/>
        <w:rPr>
          <w:rFonts w:ascii="Arial" w:hAnsi="Arial" w:cs="Arial"/>
          <w:sz w:val="24"/>
          <w:szCs w:val="24"/>
        </w:rPr>
      </w:pPr>
      <w:r w:rsidRPr="00F05A4B">
        <w:rPr>
          <w:rFonts w:ascii="Arial" w:hAnsi="Arial" w:cs="Arial"/>
          <w:sz w:val="24"/>
          <w:szCs w:val="24"/>
        </w:rPr>
        <w:t>La regulación de la marihuana está relacionada con tasas más bajas de sobredosis y muertes relacionadas a otras drogas más peligrosas como los opioides.</w:t>
      </w:r>
      <w:r w:rsidRPr="00F05A4B">
        <w:rPr>
          <w:rStyle w:val="Refdenotaalpie"/>
          <w:rFonts w:ascii="Arial" w:hAnsi="Arial" w:cs="Arial"/>
          <w:sz w:val="24"/>
          <w:szCs w:val="24"/>
        </w:rPr>
        <w:footnoteReference w:id="11"/>
      </w:r>
    </w:p>
    <w:p w14:paraId="01106D9B" w14:textId="31B7EC30" w:rsidR="00F36280" w:rsidRPr="001E451B" w:rsidRDefault="00F36280" w:rsidP="00F55092">
      <w:pPr>
        <w:pStyle w:val="Prrafodelista"/>
        <w:numPr>
          <w:ilvl w:val="0"/>
          <w:numId w:val="9"/>
        </w:numPr>
        <w:spacing w:after="0" w:line="240" w:lineRule="auto"/>
        <w:jc w:val="both"/>
        <w:rPr>
          <w:rFonts w:ascii="Arial" w:hAnsi="Arial" w:cs="Arial"/>
          <w:sz w:val="24"/>
          <w:szCs w:val="24"/>
        </w:rPr>
      </w:pPr>
      <w:r w:rsidRPr="00F05A4B">
        <w:rPr>
          <w:rFonts w:ascii="Arial" w:hAnsi="Arial" w:cs="Arial"/>
          <w:sz w:val="24"/>
          <w:szCs w:val="24"/>
        </w:rPr>
        <w:t>La regulación de la marihuana no ha incremento los arrestos por conducir en estado de intoxicación por alcohol o drogas en los Estados de Colorado y Washington.</w:t>
      </w:r>
      <w:r w:rsidRPr="00F05A4B">
        <w:rPr>
          <w:rStyle w:val="Refdenotaalpie"/>
          <w:rFonts w:ascii="Arial" w:hAnsi="Arial" w:cs="Arial"/>
          <w:sz w:val="24"/>
          <w:szCs w:val="24"/>
        </w:rPr>
        <w:footnoteReference w:id="12"/>
      </w:r>
    </w:p>
    <w:p w14:paraId="6E498BE1" w14:textId="77777777" w:rsidR="00F36280" w:rsidRPr="00F05A4B" w:rsidRDefault="00F36280" w:rsidP="00F55092">
      <w:pPr>
        <w:pStyle w:val="Prrafodelista"/>
        <w:numPr>
          <w:ilvl w:val="0"/>
          <w:numId w:val="9"/>
        </w:numPr>
        <w:spacing w:after="0" w:line="240" w:lineRule="auto"/>
        <w:jc w:val="both"/>
        <w:rPr>
          <w:rFonts w:ascii="Arial" w:hAnsi="Arial" w:cs="Arial"/>
          <w:sz w:val="24"/>
          <w:szCs w:val="24"/>
        </w:rPr>
      </w:pPr>
      <w:r w:rsidRPr="00F05A4B">
        <w:rPr>
          <w:rFonts w:ascii="Arial" w:hAnsi="Arial" w:cs="Arial"/>
          <w:sz w:val="24"/>
          <w:szCs w:val="24"/>
        </w:rPr>
        <w:t>No hay tampoco correlación entre los accidentes de tránsito y la regulación. En Colorado y Washington, los accidentes son estadísticamente similares a aquellos sin marihuana legal.</w:t>
      </w:r>
      <w:r w:rsidRPr="00F05A4B">
        <w:rPr>
          <w:rStyle w:val="Refdenotaalpie"/>
          <w:rFonts w:ascii="Arial" w:hAnsi="Arial" w:cs="Arial"/>
          <w:sz w:val="24"/>
          <w:szCs w:val="24"/>
        </w:rPr>
        <w:footnoteReference w:id="13"/>
      </w:r>
    </w:p>
    <w:p w14:paraId="168815E7" w14:textId="77777777" w:rsidR="00F36280" w:rsidRPr="00F05A4B" w:rsidRDefault="00F36280" w:rsidP="00F55092">
      <w:pPr>
        <w:jc w:val="both"/>
        <w:rPr>
          <w:rFonts w:ascii="Arial" w:hAnsi="Arial" w:cs="Arial"/>
          <w:sz w:val="24"/>
          <w:szCs w:val="24"/>
        </w:rPr>
      </w:pPr>
    </w:p>
    <w:p w14:paraId="7DBCF1CA"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Es importante resaltar que, de acuerdo a la agencia calificadora de riesgo crediticio Moody´s, los ingresos por impuestos de la regulación de la marihuana recreativa son positivos para los Estados y ciudades de Estados Unidos que han legalizado su consumo.</w:t>
      </w:r>
      <w:r w:rsidRPr="00F05A4B">
        <w:rPr>
          <w:rStyle w:val="Refdenotaalpie"/>
          <w:rFonts w:ascii="Arial" w:hAnsi="Arial" w:cs="Arial"/>
          <w:sz w:val="24"/>
          <w:szCs w:val="24"/>
        </w:rPr>
        <w:footnoteReference w:id="14"/>
      </w:r>
    </w:p>
    <w:p w14:paraId="5494DF66" w14:textId="77777777" w:rsidR="00F36280" w:rsidRPr="00F05A4B" w:rsidRDefault="00F36280" w:rsidP="00F55092">
      <w:pPr>
        <w:jc w:val="both"/>
        <w:rPr>
          <w:rFonts w:ascii="Arial" w:hAnsi="Arial" w:cs="Arial"/>
          <w:sz w:val="24"/>
          <w:szCs w:val="24"/>
        </w:rPr>
      </w:pPr>
    </w:p>
    <w:p w14:paraId="6E4B2032"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Entonces, regular es una manera de impulsar la economía y generar empleos dentro del marco legal. En Estados Unidos, el consumo de cannabis recreativo se ha vuelto un motor económico, según Drug Policy Alliance (2018)</w:t>
      </w:r>
      <w:r w:rsidRPr="00F05A4B">
        <w:rPr>
          <w:rStyle w:val="Refdenotaalpie"/>
          <w:rFonts w:ascii="Arial" w:hAnsi="Arial" w:cs="Arial"/>
          <w:sz w:val="24"/>
          <w:szCs w:val="24"/>
        </w:rPr>
        <w:footnoteReference w:id="15"/>
      </w:r>
      <w:r w:rsidRPr="00F05A4B">
        <w:rPr>
          <w:rFonts w:ascii="Arial" w:hAnsi="Arial" w:cs="Arial"/>
          <w:sz w:val="24"/>
          <w:szCs w:val="24"/>
        </w:rPr>
        <w:t>, la industria de la marihuana ha creado entre 165.000 y 230.000 empleos en ese país, cifra que se espera que crezca cuando más Estados legalicen la marihuana y los mercados cuenten con más actores legales.</w:t>
      </w:r>
    </w:p>
    <w:p w14:paraId="531F1DB1" w14:textId="77777777" w:rsidR="00F36280" w:rsidRPr="00F05A4B" w:rsidRDefault="00F36280" w:rsidP="00F55092">
      <w:pPr>
        <w:jc w:val="both"/>
        <w:rPr>
          <w:rFonts w:ascii="Arial" w:hAnsi="Arial" w:cs="Arial"/>
          <w:sz w:val="24"/>
          <w:szCs w:val="24"/>
        </w:rPr>
      </w:pPr>
    </w:p>
    <w:p w14:paraId="6BC2EF22"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Además, un reporte del Congresista Norteamericano E. Blumenauer, señala cómo la industria de la marihuana se ha convertido en una de las de mayor crecimiento en Estados Unidos.</w:t>
      </w:r>
      <w:r w:rsidRPr="00F05A4B">
        <w:rPr>
          <w:rStyle w:val="Refdenotaalpie"/>
          <w:rFonts w:ascii="Arial" w:hAnsi="Arial" w:cs="Arial"/>
          <w:sz w:val="24"/>
          <w:szCs w:val="24"/>
        </w:rPr>
        <w:footnoteReference w:id="16"/>
      </w:r>
      <w:r w:rsidRPr="00F05A4B">
        <w:rPr>
          <w:rFonts w:ascii="Arial" w:hAnsi="Arial" w:cs="Arial"/>
          <w:sz w:val="24"/>
          <w:szCs w:val="24"/>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305CD168" w14:textId="77777777" w:rsidR="00F36280" w:rsidRPr="00F05A4B" w:rsidRDefault="00F36280" w:rsidP="00F55092">
      <w:pPr>
        <w:jc w:val="both"/>
        <w:rPr>
          <w:rFonts w:ascii="Arial" w:hAnsi="Arial" w:cs="Arial"/>
          <w:sz w:val="24"/>
          <w:szCs w:val="24"/>
        </w:rPr>
      </w:pPr>
    </w:p>
    <w:p w14:paraId="73DA458A"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17AAB945" w14:textId="77777777" w:rsidR="00F36280" w:rsidRPr="00F05A4B" w:rsidRDefault="00F36280" w:rsidP="00F55092">
      <w:pPr>
        <w:pStyle w:val="Ttulo2"/>
        <w:ind w:left="0"/>
        <w:jc w:val="both"/>
        <w:rPr>
          <w:rFonts w:ascii="Arial" w:hAnsi="Arial" w:cs="Arial"/>
          <w:b w:val="0"/>
          <w:sz w:val="24"/>
          <w:szCs w:val="24"/>
        </w:rPr>
      </w:pPr>
      <w:bookmarkStart w:id="2" w:name="_Toc5023212"/>
    </w:p>
    <w:p w14:paraId="0B92428B" w14:textId="340A5D4E" w:rsidR="00F36280" w:rsidRPr="00F05A4B" w:rsidRDefault="00F36280" w:rsidP="00F55092">
      <w:pPr>
        <w:pStyle w:val="Ttulo2"/>
        <w:ind w:left="0"/>
        <w:jc w:val="both"/>
        <w:rPr>
          <w:rFonts w:ascii="Arial" w:hAnsi="Arial" w:cs="Arial"/>
          <w:b w:val="0"/>
          <w:sz w:val="24"/>
          <w:szCs w:val="24"/>
        </w:rPr>
      </w:pPr>
      <w:r w:rsidRPr="00F05A4B">
        <w:rPr>
          <w:rFonts w:ascii="Arial" w:hAnsi="Arial" w:cs="Arial"/>
          <w:b w:val="0"/>
          <w:sz w:val="24"/>
          <w:szCs w:val="24"/>
        </w:rPr>
        <w:t xml:space="preserve">Por tanto, es importante pensar la regulación como una herramienta para desfinanciar economías ilegales, que en Colombia por más esfuerzos que hemos hecho no se ha podido lograr. </w:t>
      </w:r>
      <w:bookmarkEnd w:id="2"/>
    </w:p>
    <w:p w14:paraId="050F8400" w14:textId="77777777" w:rsidR="00F36280" w:rsidRPr="00F05A4B" w:rsidRDefault="00F36280" w:rsidP="00F55092">
      <w:pPr>
        <w:jc w:val="both"/>
        <w:rPr>
          <w:rFonts w:ascii="Arial" w:hAnsi="Arial" w:cs="Arial"/>
          <w:sz w:val="24"/>
          <w:szCs w:val="24"/>
        </w:rPr>
      </w:pPr>
    </w:p>
    <w:p w14:paraId="3F479BA3"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F05A4B">
        <w:rPr>
          <w:rStyle w:val="Refdenotaalpie"/>
          <w:rFonts w:ascii="Arial" w:hAnsi="Arial" w:cs="Arial"/>
          <w:sz w:val="24"/>
          <w:szCs w:val="24"/>
        </w:rPr>
        <w:footnoteReference w:id="17"/>
      </w:r>
    </w:p>
    <w:p w14:paraId="392A996D" w14:textId="77777777" w:rsidR="00F36280" w:rsidRPr="00F05A4B" w:rsidRDefault="00F36280" w:rsidP="00F55092">
      <w:pPr>
        <w:jc w:val="both"/>
        <w:rPr>
          <w:rFonts w:ascii="Arial" w:hAnsi="Arial" w:cs="Arial"/>
          <w:sz w:val="24"/>
          <w:szCs w:val="24"/>
        </w:rPr>
      </w:pPr>
    </w:p>
    <w:p w14:paraId="324CC2F0"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La Comisión Global de Políticas de Drogas</w:t>
      </w:r>
      <w:r w:rsidRPr="00F05A4B">
        <w:rPr>
          <w:rStyle w:val="Refdenotaalpie"/>
          <w:rFonts w:ascii="Arial" w:hAnsi="Arial" w:cs="Arial"/>
          <w:sz w:val="24"/>
          <w:szCs w:val="24"/>
        </w:rPr>
        <w:footnoteReference w:id="18"/>
      </w:r>
      <w:r w:rsidRPr="00F05A4B">
        <w:rPr>
          <w:rFonts w:ascii="Arial" w:hAnsi="Arial" w:cs="Arial"/>
          <w:sz w:val="24"/>
          <w:szCs w:val="24"/>
        </w:rPr>
        <w:t>, en su informe “</w:t>
      </w:r>
      <w:r w:rsidRPr="00F05A4B">
        <w:rPr>
          <w:rFonts w:ascii="Arial" w:hAnsi="Arial" w:cs="Arial"/>
          <w:i/>
          <w:iCs/>
          <w:sz w:val="24"/>
          <w:szCs w:val="24"/>
        </w:rPr>
        <w:t>Regulación: El Control Responsable de las Drogas</w:t>
      </w:r>
      <w:r w:rsidRPr="00F05A4B">
        <w:rPr>
          <w:rFonts w:ascii="Arial" w:hAnsi="Arial" w:cs="Arial"/>
          <w:sz w:val="24"/>
          <w:szCs w:val="24"/>
        </w:rPr>
        <w:t>”</w:t>
      </w:r>
      <w:r w:rsidRPr="00F05A4B">
        <w:rPr>
          <w:rStyle w:val="Refdenotaalpie"/>
          <w:rFonts w:ascii="Arial" w:hAnsi="Arial" w:cs="Arial"/>
          <w:sz w:val="24"/>
          <w:szCs w:val="24"/>
        </w:rPr>
        <w:footnoteReference w:id="19"/>
      </w:r>
      <w:r w:rsidRPr="00F05A4B">
        <w:rPr>
          <w:rFonts w:ascii="Arial" w:hAnsi="Arial" w:cs="Arial"/>
          <w:sz w:val="24"/>
          <w:szCs w:val="24"/>
        </w:rPr>
        <w:t xml:space="preserve">, menciona que la regulación de las drogas debe ser incremental – </w:t>
      </w:r>
      <w:r w:rsidRPr="00F05A4B">
        <w:rPr>
          <w:rFonts w:ascii="Arial" w:hAnsi="Arial" w:cs="Arial"/>
          <w:i/>
          <w:sz w:val="24"/>
          <w:szCs w:val="24"/>
        </w:rPr>
        <w:t>iniciando con drogas de menor potencia</w:t>
      </w:r>
      <w:r w:rsidRPr="00F05A4B">
        <w:rPr>
          <w:rFonts w:ascii="Arial" w:hAnsi="Arial" w:cs="Arial"/>
          <w:sz w:val="24"/>
          <w:szCs w:val="24"/>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5DF50F2" w14:textId="77777777" w:rsidR="00F36280" w:rsidRPr="00F05A4B" w:rsidRDefault="00F36280" w:rsidP="00F55092">
      <w:pPr>
        <w:jc w:val="both"/>
        <w:rPr>
          <w:rFonts w:ascii="Arial" w:hAnsi="Arial" w:cs="Arial"/>
          <w:sz w:val="24"/>
          <w:szCs w:val="24"/>
        </w:rPr>
      </w:pPr>
    </w:p>
    <w:p w14:paraId="23313300"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Más importante aún, señala el informe, es el hecho de que los impactos que puede tener y ha tenido la lucha contra las drogas, como ha sido planteada hasta ahora, son marginales sobre los índices de consumo y comercialización, pues “</w:t>
      </w:r>
      <w:r w:rsidRPr="00F05A4B">
        <w:rPr>
          <w:rFonts w:ascii="Arial" w:hAnsi="Arial" w:cs="Arial"/>
          <w:i/>
          <w:iCs/>
          <w:sz w:val="24"/>
          <w:szCs w:val="24"/>
        </w:rPr>
        <w:t>las leyes económicas de la oferta y la demanda no se rompen tan fácilmente</w:t>
      </w:r>
      <w:r w:rsidRPr="00F05A4B">
        <w:rPr>
          <w:rFonts w:ascii="Arial" w:hAnsi="Arial" w:cs="Arial"/>
          <w:sz w:val="24"/>
          <w:szCs w:val="24"/>
        </w:rPr>
        <w:t>” .</w:t>
      </w:r>
      <w:r w:rsidRPr="00F05A4B">
        <w:rPr>
          <w:rStyle w:val="Refdenotaalpie"/>
          <w:rFonts w:ascii="Arial" w:hAnsi="Arial" w:cs="Arial"/>
          <w:sz w:val="24"/>
          <w:szCs w:val="24"/>
        </w:rPr>
        <w:footnoteReference w:id="20"/>
      </w:r>
      <w:r w:rsidRPr="00F05A4B">
        <w:rPr>
          <w:rFonts w:ascii="Arial" w:hAnsi="Arial" w:cs="Arial"/>
          <w:sz w:val="24"/>
          <w:szCs w:val="24"/>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317E4DBC" w14:textId="77777777" w:rsidR="00F36280" w:rsidRPr="00F05A4B" w:rsidRDefault="00F36280" w:rsidP="00F55092">
      <w:pPr>
        <w:jc w:val="both"/>
        <w:rPr>
          <w:rFonts w:ascii="Arial" w:hAnsi="Arial" w:cs="Arial"/>
          <w:sz w:val="24"/>
          <w:szCs w:val="24"/>
        </w:rPr>
      </w:pPr>
    </w:p>
    <w:p w14:paraId="5578EAC1"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recreativo de la marihuana, podría tener repercusiones importantes sobre otras actividades delictivas. De acuerdo con la OEA las actividades conexas al tráfico de drogas son: “</w:t>
      </w:r>
      <w:r w:rsidRPr="00F05A4B">
        <w:rPr>
          <w:rFonts w:ascii="Arial" w:hAnsi="Arial" w:cs="Arial"/>
          <w:i/>
          <w:sz w:val="24"/>
          <w:szCs w:val="24"/>
        </w:rPr>
        <w:t>el tráfico internacional de armas, contrabando, falsificación y tráfico de personas, el control y la explotación doméstica del trabajo sexual, el robo y la venta de bienes robados, secuestro, extorsión y victimización de migrantes”</w:t>
      </w:r>
      <w:r w:rsidRPr="00F05A4B">
        <w:rPr>
          <w:rFonts w:ascii="Arial" w:hAnsi="Arial" w:cs="Arial"/>
          <w:sz w:val="24"/>
          <w:szCs w:val="24"/>
        </w:rPr>
        <w:t>.</w:t>
      </w:r>
      <w:r w:rsidRPr="00F05A4B">
        <w:rPr>
          <w:rStyle w:val="Refdenotaalpie"/>
          <w:rFonts w:ascii="Arial" w:hAnsi="Arial" w:cs="Arial"/>
          <w:sz w:val="24"/>
          <w:szCs w:val="24"/>
        </w:rPr>
        <w:footnoteReference w:id="21"/>
      </w:r>
    </w:p>
    <w:p w14:paraId="1AD2D691" w14:textId="77777777" w:rsidR="00F36280" w:rsidRPr="00F05A4B" w:rsidRDefault="00F36280" w:rsidP="00F55092">
      <w:pPr>
        <w:pStyle w:val="Ttulo2"/>
        <w:ind w:left="0"/>
        <w:jc w:val="both"/>
        <w:rPr>
          <w:rFonts w:ascii="Arial" w:hAnsi="Arial" w:cs="Arial"/>
          <w:b w:val="0"/>
          <w:sz w:val="24"/>
          <w:szCs w:val="24"/>
        </w:rPr>
      </w:pPr>
      <w:bookmarkStart w:id="3" w:name="_Toc5023213"/>
    </w:p>
    <w:p w14:paraId="257E3419" w14:textId="11D26559" w:rsidR="00F36280" w:rsidRPr="00F05A4B" w:rsidRDefault="00F36280" w:rsidP="00F55092">
      <w:pPr>
        <w:pStyle w:val="Ttulo2"/>
        <w:ind w:left="0"/>
        <w:jc w:val="both"/>
        <w:rPr>
          <w:rFonts w:ascii="Arial" w:hAnsi="Arial" w:cs="Arial"/>
          <w:b w:val="0"/>
          <w:sz w:val="24"/>
          <w:szCs w:val="24"/>
        </w:rPr>
      </w:pPr>
      <w:r w:rsidRPr="00F05A4B">
        <w:rPr>
          <w:rFonts w:ascii="Arial" w:hAnsi="Arial" w:cs="Arial"/>
          <w:b w:val="0"/>
          <w:sz w:val="24"/>
          <w:szCs w:val="24"/>
        </w:rPr>
        <w:t>Por otro lado, en Latinoamérica la experiencia de Uruguay es destacable pues ha tenido una lucha con el mercado negro a través de precios del mercado.</w:t>
      </w:r>
      <w:bookmarkEnd w:id="3"/>
      <w:r w:rsidRPr="00F05A4B">
        <w:rPr>
          <w:rFonts w:ascii="Arial" w:hAnsi="Arial" w:cs="Arial"/>
          <w:b w:val="0"/>
          <w:sz w:val="24"/>
          <w:szCs w:val="24"/>
        </w:rPr>
        <w:t xml:space="preserve"> Con la regulación del uso recreativo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75A15821" w14:textId="77777777" w:rsidR="00F36280" w:rsidRPr="00F05A4B" w:rsidRDefault="00F36280" w:rsidP="00F55092">
      <w:pPr>
        <w:pStyle w:val="Ttulo2"/>
        <w:ind w:left="0"/>
        <w:jc w:val="both"/>
        <w:rPr>
          <w:rFonts w:ascii="Arial" w:hAnsi="Arial" w:cs="Arial"/>
          <w:b w:val="0"/>
          <w:sz w:val="24"/>
          <w:szCs w:val="24"/>
        </w:rPr>
      </w:pPr>
    </w:p>
    <w:p w14:paraId="49BEDAE8" w14:textId="77777777" w:rsidR="00F36280" w:rsidRPr="00F05A4B" w:rsidRDefault="00F36280" w:rsidP="00F55092">
      <w:pPr>
        <w:pStyle w:val="Ttulo2"/>
        <w:ind w:left="0"/>
        <w:jc w:val="both"/>
        <w:rPr>
          <w:rFonts w:ascii="Arial" w:hAnsi="Arial" w:cs="Arial"/>
          <w:b w:val="0"/>
          <w:sz w:val="24"/>
          <w:szCs w:val="24"/>
        </w:rPr>
      </w:pPr>
      <w:r w:rsidRPr="00F05A4B">
        <w:rPr>
          <w:rFonts w:ascii="Arial" w:hAnsi="Arial" w:cs="Arial"/>
          <w:b w:val="0"/>
          <w:sz w:val="24"/>
          <w:szCs w:val="24"/>
        </w:rPr>
        <w:t>Dichas opciones de compra y producción legales han representado un fuerte golpe a las economías al margen de la ley. El Instituto de Regulación y Control del Cannabis de Uruguay (IRCCA) ha reportado que alrededor del 55% de los usuarios de marihuana participan en el mercado regulado. Lo anterior es de gran importancia, pues las estructuras ilegales de comercio de marihuana se están viendo directamente afectadas a través de la pérdida de clientes que deciden participar en los canales legales. Lo anterior, se ha logrado dado que el Gobierno fija el precio de la marihuana legal y lo fija en línea al del mercado negro, por lo que no existen grandes incentivos para que dicho mercado prospere. Actualmente el precio de 1 gramo de marihuana se encuentra en $40 Pesos uruguayos, es decir alrededor de USD $1.2.</w:t>
      </w:r>
      <w:r w:rsidRPr="00F05A4B">
        <w:rPr>
          <w:rStyle w:val="Refdenotaalpie"/>
          <w:rFonts w:ascii="Arial" w:hAnsi="Arial" w:cs="Arial"/>
          <w:b w:val="0"/>
          <w:sz w:val="24"/>
          <w:szCs w:val="24"/>
        </w:rPr>
        <w:footnoteReference w:id="22"/>
      </w:r>
    </w:p>
    <w:p w14:paraId="39E0C5EE" w14:textId="77777777" w:rsidR="00F36280" w:rsidRPr="00F05A4B" w:rsidRDefault="00F36280" w:rsidP="00F55092">
      <w:pPr>
        <w:jc w:val="both"/>
        <w:rPr>
          <w:rFonts w:ascii="Arial" w:hAnsi="Arial" w:cs="Arial"/>
          <w:b/>
          <w:sz w:val="24"/>
          <w:szCs w:val="24"/>
        </w:rPr>
      </w:pPr>
    </w:p>
    <w:p w14:paraId="7F161885" w14:textId="77777777" w:rsidR="00F36280" w:rsidRPr="00F05A4B" w:rsidRDefault="00F36280" w:rsidP="00F55092">
      <w:pPr>
        <w:jc w:val="both"/>
        <w:rPr>
          <w:rFonts w:ascii="Arial" w:hAnsi="Arial" w:cs="Arial"/>
          <w:sz w:val="24"/>
          <w:szCs w:val="24"/>
        </w:rPr>
      </w:pPr>
      <w:r w:rsidRPr="00F05A4B">
        <w:rPr>
          <w:rFonts w:ascii="Arial" w:hAnsi="Arial" w:cs="Arial"/>
          <w:sz w:val="24"/>
          <w:szCs w:val="24"/>
        </w:rPr>
        <w:t>Otro punto importante es que la regulación de la marihuana para uso recreativo puede llevar a que los países ahorren importantes recursos en políticas punitivas y sobrepoblación carcelaria.</w:t>
      </w:r>
      <w:r w:rsidRPr="00F05A4B">
        <w:rPr>
          <w:rStyle w:val="Refdenotaalpie"/>
          <w:rFonts w:ascii="Arial" w:hAnsi="Arial" w:cs="Arial"/>
          <w:sz w:val="24"/>
          <w:szCs w:val="24"/>
        </w:rPr>
        <w:footnoteReference w:id="23"/>
      </w:r>
      <w:r w:rsidRPr="00F05A4B">
        <w:rPr>
          <w:rFonts w:ascii="Arial" w:hAnsi="Arial" w:cs="Arial"/>
          <w:sz w:val="24"/>
          <w:szCs w:val="24"/>
        </w:rPr>
        <w:t xml:space="preserve"> Estados Unidos, por ejemplo, lo ha logrado pues cuando se dio la regulación, disminuyeron significativamente los arrestos por posesión de drogas.</w:t>
      </w:r>
      <w:r w:rsidRPr="00F05A4B">
        <w:rPr>
          <w:rStyle w:val="Refdenotaalpie"/>
          <w:rFonts w:ascii="Arial" w:hAnsi="Arial" w:cs="Arial"/>
          <w:sz w:val="24"/>
          <w:szCs w:val="24"/>
        </w:rPr>
        <w:footnoteReference w:id="24"/>
      </w:r>
      <w:r w:rsidRPr="00F05A4B">
        <w:rPr>
          <w:rFonts w:ascii="Arial" w:hAnsi="Arial" w:cs="Arial"/>
          <w:sz w:val="24"/>
          <w:szCs w:val="24"/>
        </w:rPr>
        <w:t xml:space="preserve"> Los expedientes judiciales para los Estados de Washington y Colorado entre 2011 y 2015 bajaron respectivamente 98% y 81%. Y los arrestos por posesión de marihuana han disminuido significativamente de la siguiente manera:</w:t>
      </w:r>
      <w:r w:rsidRPr="00F05A4B">
        <w:rPr>
          <w:rStyle w:val="Refdenotaalpie"/>
          <w:rFonts w:ascii="Arial" w:hAnsi="Arial" w:cs="Arial"/>
          <w:sz w:val="24"/>
          <w:szCs w:val="24"/>
        </w:rPr>
        <w:footnoteReference w:id="25"/>
      </w:r>
    </w:p>
    <w:p w14:paraId="0DB79716" w14:textId="77777777" w:rsidR="00F36280" w:rsidRPr="00F05A4B" w:rsidRDefault="00F36280" w:rsidP="00F55092">
      <w:pPr>
        <w:jc w:val="both"/>
        <w:rPr>
          <w:rFonts w:ascii="Arial" w:hAnsi="Arial" w:cs="Arial"/>
          <w:sz w:val="24"/>
          <w:szCs w:val="24"/>
        </w:rPr>
      </w:pPr>
    </w:p>
    <w:p w14:paraId="572BE8B4" w14:textId="77777777" w:rsidR="00F36280" w:rsidRPr="00F05A4B" w:rsidRDefault="00F36280" w:rsidP="00F55092">
      <w:pPr>
        <w:pStyle w:val="Prrafodelista"/>
        <w:numPr>
          <w:ilvl w:val="2"/>
          <w:numId w:val="9"/>
        </w:numPr>
        <w:spacing w:after="0" w:line="240" w:lineRule="auto"/>
        <w:jc w:val="both"/>
        <w:rPr>
          <w:rFonts w:ascii="Arial" w:hAnsi="Arial" w:cs="Arial"/>
          <w:sz w:val="24"/>
          <w:szCs w:val="24"/>
        </w:rPr>
      </w:pPr>
      <w:r w:rsidRPr="00F05A4B">
        <w:rPr>
          <w:rFonts w:ascii="Arial" w:hAnsi="Arial" w:cs="Arial"/>
          <w:sz w:val="24"/>
          <w:szCs w:val="24"/>
        </w:rPr>
        <w:t>Colorado: 88% (2012-2015).</w:t>
      </w:r>
    </w:p>
    <w:p w14:paraId="4A8B26B1" w14:textId="77777777" w:rsidR="00F36280" w:rsidRPr="00F05A4B" w:rsidRDefault="00F36280" w:rsidP="00F55092">
      <w:pPr>
        <w:pStyle w:val="Prrafodelista"/>
        <w:numPr>
          <w:ilvl w:val="2"/>
          <w:numId w:val="9"/>
        </w:numPr>
        <w:spacing w:after="0" w:line="240" w:lineRule="auto"/>
        <w:jc w:val="both"/>
        <w:rPr>
          <w:rFonts w:ascii="Arial" w:hAnsi="Arial" w:cs="Arial"/>
          <w:sz w:val="24"/>
          <w:szCs w:val="24"/>
        </w:rPr>
      </w:pPr>
      <w:r w:rsidRPr="00F05A4B">
        <w:rPr>
          <w:rFonts w:ascii="Arial" w:hAnsi="Arial" w:cs="Arial"/>
          <w:sz w:val="24"/>
          <w:szCs w:val="24"/>
        </w:rPr>
        <w:t>Washington D.C.: 98.6% (2013-2016).</w:t>
      </w:r>
    </w:p>
    <w:p w14:paraId="57584451" w14:textId="77777777" w:rsidR="00F36280" w:rsidRPr="00F05A4B" w:rsidRDefault="00F36280" w:rsidP="00F55092">
      <w:pPr>
        <w:pStyle w:val="Prrafodelista"/>
        <w:numPr>
          <w:ilvl w:val="2"/>
          <w:numId w:val="9"/>
        </w:numPr>
        <w:spacing w:after="0" w:line="240" w:lineRule="auto"/>
        <w:jc w:val="both"/>
        <w:rPr>
          <w:rFonts w:ascii="Arial" w:hAnsi="Arial" w:cs="Arial"/>
          <w:sz w:val="24"/>
          <w:szCs w:val="24"/>
        </w:rPr>
      </w:pPr>
      <w:r w:rsidRPr="00F05A4B">
        <w:rPr>
          <w:rFonts w:ascii="Arial" w:hAnsi="Arial" w:cs="Arial"/>
          <w:sz w:val="24"/>
          <w:szCs w:val="24"/>
        </w:rPr>
        <w:t>Oregón: 96% (2013-2016).</w:t>
      </w:r>
    </w:p>
    <w:p w14:paraId="7041C678" w14:textId="77777777" w:rsidR="00F36280" w:rsidRPr="00F05A4B" w:rsidRDefault="00F36280" w:rsidP="00F55092">
      <w:pPr>
        <w:pStyle w:val="Prrafodelista"/>
        <w:numPr>
          <w:ilvl w:val="2"/>
          <w:numId w:val="9"/>
        </w:numPr>
        <w:spacing w:after="0" w:line="240" w:lineRule="auto"/>
        <w:jc w:val="both"/>
        <w:rPr>
          <w:rFonts w:ascii="Arial" w:hAnsi="Arial" w:cs="Arial"/>
          <w:sz w:val="24"/>
          <w:szCs w:val="24"/>
        </w:rPr>
      </w:pPr>
      <w:r w:rsidRPr="00F05A4B">
        <w:rPr>
          <w:rFonts w:ascii="Arial" w:hAnsi="Arial" w:cs="Arial"/>
          <w:sz w:val="24"/>
          <w:szCs w:val="24"/>
        </w:rPr>
        <w:t>Alaska: 93% (2013-2015).</w:t>
      </w:r>
    </w:p>
    <w:p w14:paraId="2667CAC7" w14:textId="77777777" w:rsidR="00F36280" w:rsidRPr="00F05A4B" w:rsidRDefault="00F36280" w:rsidP="00F55092">
      <w:pPr>
        <w:pStyle w:val="Ttulo2"/>
        <w:ind w:left="0"/>
        <w:jc w:val="both"/>
        <w:rPr>
          <w:rFonts w:ascii="Arial" w:hAnsi="Arial" w:cs="Arial"/>
          <w:b w:val="0"/>
          <w:sz w:val="24"/>
          <w:szCs w:val="24"/>
        </w:rPr>
      </w:pPr>
      <w:bookmarkStart w:id="4" w:name="_Toc5023216"/>
    </w:p>
    <w:p w14:paraId="76DAFE65" w14:textId="697941CD" w:rsidR="00F36280" w:rsidRPr="00F05A4B" w:rsidRDefault="00F36280" w:rsidP="00F55092">
      <w:pPr>
        <w:pStyle w:val="Ttulo2"/>
        <w:ind w:left="0"/>
        <w:jc w:val="both"/>
        <w:rPr>
          <w:rFonts w:ascii="Arial" w:hAnsi="Arial" w:cs="Arial"/>
          <w:b w:val="0"/>
          <w:sz w:val="24"/>
          <w:szCs w:val="24"/>
        </w:rPr>
      </w:pPr>
      <w:r w:rsidRPr="00F05A4B">
        <w:rPr>
          <w:rFonts w:ascii="Arial" w:hAnsi="Arial" w:cs="Arial"/>
          <w:b w:val="0"/>
          <w:sz w:val="24"/>
          <w:szCs w:val="24"/>
        </w:rPr>
        <w:t xml:space="preserve">Emprender la regularización del uso recreativo y científico del cannabis en Colombia, representa una oportunidad para fortalecer la economía del país, reducir el crimen y los mercados ilegales, y además aliviar el sistema carcelario y judicial </w:t>
      </w:r>
      <w:bookmarkEnd w:id="4"/>
      <w:r w:rsidRPr="00F05A4B">
        <w:rPr>
          <w:rFonts w:ascii="Arial" w:hAnsi="Arial" w:cs="Arial"/>
          <w:b w:val="0"/>
          <w:sz w:val="24"/>
          <w:szCs w:val="24"/>
        </w:rPr>
        <w:t>nacional.</w:t>
      </w:r>
    </w:p>
    <w:p w14:paraId="2E2690F9" w14:textId="77777777" w:rsidR="00872387" w:rsidRPr="00F05A4B" w:rsidRDefault="00872387" w:rsidP="00F55092">
      <w:pPr>
        <w:rPr>
          <w:rFonts w:ascii="Arial" w:hAnsi="Arial" w:cs="Arial"/>
          <w:sz w:val="24"/>
          <w:szCs w:val="24"/>
        </w:rPr>
      </w:pPr>
    </w:p>
    <w:p w14:paraId="059FEE9D" w14:textId="77777777" w:rsidR="005F0268" w:rsidRPr="00F05A4B" w:rsidRDefault="00F36280" w:rsidP="00F55092">
      <w:pPr>
        <w:pStyle w:val="Ttulo2"/>
        <w:numPr>
          <w:ilvl w:val="0"/>
          <w:numId w:val="35"/>
        </w:numPr>
        <w:jc w:val="center"/>
        <w:rPr>
          <w:rFonts w:ascii="Arial" w:eastAsia="Calibri" w:hAnsi="Arial" w:cs="Arial"/>
          <w:sz w:val="24"/>
          <w:szCs w:val="24"/>
        </w:rPr>
      </w:pPr>
      <w:r w:rsidRPr="00F05A4B">
        <w:rPr>
          <w:rFonts w:ascii="Arial" w:eastAsia="Calibri" w:hAnsi="Arial" w:cs="Arial"/>
          <w:sz w:val="24"/>
          <w:szCs w:val="24"/>
        </w:rPr>
        <w:t xml:space="preserve">REGULACIÓN DE ESTUPEFACIENTES EN COLOMBIA: </w:t>
      </w:r>
    </w:p>
    <w:p w14:paraId="5DC136C4" w14:textId="585EF1F1" w:rsidR="00191D6F" w:rsidRPr="00191D6F" w:rsidRDefault="00F36280" w:rsidP="00191D6F">
      <w:pPr>
        <w:pStyle w:val="Ttulo2"/>
        <w:ind w:left="360"/>
        <w:jc w:val="center"/>
        <w:rPr>
          <w:rFonts w:ascii="Arial" w:eastAsia="Calibri" w:hAnsi="Arial" w:cs="Arial"/>
          <w:sz w:val="24"/>
          <w:szCs w:val="24"/>
        </w:rPr>
      </w:pPr>
      <w:r w:rsidRPr="00F05A4B">
        <w:rPr>
          <w:rFonts w:ascii="Arial" w:eastAsia="Calibri" w:hAnsi="Arial" w:cs="Arial"/>
          <w:sz w:val="24"/>
          <w:szCs w:val="24"/>
        </w:rPr>
        <w:t>ANÁLISIS CONSTITUCIONAL Y LEGAL.</w:t>
      </w:r>
    </w:p>
    <w:p w14:paraId="24CE52BA" w14:textId="1A487EB1" w:rsidR="0019685D" w:rsidRDefault="0019685D" w:rsidP="0019685D">
      <w:pPr>
        <w:rPr>
          <w:rFonts w:eastAsia="Calibri"/>
        </w:rPr>
      </w:pPr>
    </w:p>
    <w:p w14:paraId="6A310CF6" w14:textId="68DC5373" w:rsidR="0019685D" w:rsidRPr="0019685D" w:rsidRDefault="0019685D" w:rsidP="0019685D">
      <w:pPr>
        <w:pStyle w:val="Ttulo2"/>
        <w:numPr>
          <w:ilvl w:val="1"/>
          <w:numId w:val="35"/>
        </w:numPr>
        <w:ind w:left="426"/>
        <w:jc w:val="both"/>
        <w:rPr>
          <w:rFonts w:ascii="Arial" w:eastAsia="Calibri" w:hAnsi="Arial" w:cs="Arial"/>
          <w:sz w:val="24"/>
          <w:szCs w:val="24"/>
        </w:rPr>
      </w:pPr>
      <w:r w:rsidRPr="0019685D">
        <w:rPr>
          <w:rFonts w:ascii="Arial" w:eastAsia="Calibri" w:hAnsi="Arial" w:cs="Arial"/>
          <w:sz w:val="24"/>
          <w:szCs w:val="24"/>
        </w:rPr>
        <w:t xml:space="preserve"> DERECHOS FUNDAMENTALES VS REGULACIÓN</w:t>
      </w:r>
    </w:p>
    <w:p w14:paraId="54EB47AF" w14:textId="77777777" w:rsidR="00F36280" w:rsidRPr="00F05A4B" w:rsidRDefault="00F36280" w:rsidP="00F55092">
      <w:pPr>
        <w:rPr>
          <w:rFonts w:ascii="Arial" w:eastAsia="Calibri" w:hAnsi="Arial" w:cs="Arial"/>
          <w:sz w:val="24"/>
          <w:szCs w:val="24"/>
        </w:rPr>
      </w:pPr>
    </w:p>
    <w:p w14:paraId="6129DAF7" w14:textId="77777777" w:rsidR="00F36280" w:rsidRPr="00F05A4B" w:rsidRDefault="00F36280" w:rsidP="00F55092">
      <w:pPr>
        <w:jc w:val="both"/>
        <w:rPr>
          <w:rFonts w:ascii="Arial" w:eastAsia="Calibri" w:hAnsi="Arial" w:cs="Arial"/>
          <w:sz w:val="24"/>
          <w:szCs w:val="24"/>
        </w:rPr>
      </w:pPr>
      <w:r w:rsidRPr="00F05A4B">
        <w:rPr>
          <w:rFonts w:ascii="Arial" w:eastAsia="Calibri" w:hAnsi="Arial" w:cs="Arial"/>
          <w:sz w:val="24"/>
          <w:szCs w:val="24"/>
          <w:lang w:val="es-ES_tradnl"/>
        </w:rPr>
        <w:t xml:space="preserve">La Corte Constitucional en </w:t>
      </w:r>
      <w:r w:rsidRPr="00F05A4B">
        <w:rPr>
          <w:rFonts w:ascii="Arial" w:eastAsia="Calibri" w:hAnsi="Arial" w:cs="Arial"/>
          <w:bCs/>
          <w:sz w:val="24"/>
          <w:szCs w:val="24"/>
        </w:rPr>
        <w:t>Sentencia T-388 de 2013</w:t>
      </w:r>
      <w:r w:rsidRPr="00F05A4B">
        <w:rPr>
          <w:rFonts w:ascii="Arial" w:eastAsia="Calibri" w:hAnsi="Arial" w:cs="Arial"/>
          <w:sz w:val="24"/>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1DC22022" w14:textId="77777777" w:rsidR="00F36280" w:rsidRPr="00F05A4B" w:rsidRDefault="00F36280" w:rsidP="00F55092">
      <w:pPr>
        <w:jc w:val="both"/>
        <w:rPr>
          <w:rFonts w:ascii="Arial" w:eastAsia="Calibri" w:hAnsi="Arial" w:cs="Arial"/>
          <w:sz w:val="24"/>
          <w:szCs w:val="24"/>
        </w:rPr>
      </w:pPr>
    </w:p>
    <w:p w14:paraId="3B576921" w14:textId="77777777" w:rsidR="00F36280" w:rsidRPr="00F05A4B" w:rsidRDefault="00F36280" w:rsidP="00F55092">
      <w:pPr>
        <w:jc w:val="both"/>
        <w:rPr>
          <w:rFonts w:ascii="Arial" w:eastAsia="Calibri" w:hAnsi="Arial" w:cs="Arial"/>
          <w:sz w:val="24"/>
          <w:szCs w:val="24"/>
          <w:lang w:val="es-ES_tradnl"/>
        </w:rPr>
      </w:pPr>
      <w:r w:rsidRPr="00F05A4B">
        <w:rPr>
          <w:rFonts w:ascii="Arial" w:eastAsia="Calibri" w:hAnsi="Arial" w:cs="Arial"/>
          <w:sz w:val="24"/>
          <w:szCs w:val="24"/>
        </w:rPr>
        <w:t xml:space="preserve">Bajo esta directriz, </w:t>
      </w:r>
      <w:r w:rsidRPr="00F05A4B">
        <w:rPr>
          <w:rFonts w:ascii="Arial" w:eastAsia="Calibri" w:hAnsi="Arial" w:cs="Arial"/>
          <w:sz w:val="24"/>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2368FA58" w14:textId="77777777" w:rsidR="00F36280" w:rsidRPr="00F05A4B" w:rsidRDefault="00F36280" w:rsidP="00F55092">
      <w:pPr>
        <w:jc w:val="both"/>
        <w:rPr>
          <w:rFonts w:ascii="Arial" w:eastAsia="Calibri" w:hAnsi="Arial" w:cs="Arial"/>
          <w:sz w:val="24"/>
          <w:szCs w:val="24"/>
          <w:lang w:val="es-ES_tradnl"/>
        </w:rPr>
      </w:pPr>
    </w:p>
    <w:p w14:paraId="0D58D644" w14:textId="39886D9C" w:rsidR="00F36280" w:rsidRPr="00F05A4B" w:rsidRDefault="00F36280"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Las políticas prohibicionis</w:t>
      </w:r>
      <w:r w:rsidR="005F0268" w:rsidRPr="00F05A4B">
        <w:rPr>
          <w:rFonts w:ascii="Arial" w:eastAsia="Calibri" w:hAnsi="Arial" w:cs="Arial"/>
          <w:sz w:val="24"/>
          <w:szCs w:val="24"/>
          <w:lang w:val="es-ES_tradnl"/>
        </w:rPr>
        <w:t xml:space="preserve">tas, además de ser infructuosas, y altamente costosas en términos de recursos y vidas, </w:t>
      </w:r>
      <w:r w:rsidRPr="00F05A4B">
        <w:rPr>
          <w:rFonts w:ascii="Arial" w:eastAsia="Calibri" w:hAnsi="Arial" w:cs="Arial"/>
          <w:sz w:val="24"/>
          <w:szCs w:val="24"/>
          <w:lang w:val="es-ES_tradnl"/>
        </w:rPr>
        <w:t>van en detrimento de los derechos fundamentales al libre desarrollo de la personalidad, igualdad y salud pública.</w:t>
      </w:r>
    </w:p>
    <w:p w14:paraId="2420AF71" w14:textId="77777777" w:rsidR="00F36280" w:rsidRPr="00F05A4B" w:rsidRDefault="00F36280" w:rsidP="00F55092">
      <w:pPr>
        <w:jc w:val="both"/>
        <w:rPr>
          <w:rFonts w:ascii="Arial" w:eastAsia="Calibri" w:hAnsi="Arial" w:cs="Arial"/>
          <w:sz w:val="24"/>
          <w:szCs w:val="24"/>
          <w:lang w:val="es-ES_tradnl"/>
        </w:rPr>
      </w:pPr>
    </w:p>
    <w:p w14:paraId="739628F0" w14:textId="39BEC17C" w:rsidR="00BB5B9A" w:rsidRPr="009807EA" w:rsidRDefault="00F36280" w:rsidP="00F55092">
      <w:pPr>
        <w:jc w:val="both"/>
        <w:rPr>
          <w:rFonts w:ascii="Arial" w:eastAsia="Calibri" w:hAnsi="Arial" w:cs="Arial"/>
          <w:bCs/>
          <w:i/>
          <w:iCs/>
          <w:sz w:val="24"/>
          <w:szCs w:val="24"/>
          <w:lang w:val="es-ES_tradnl"/>
        </w:rPr>
      </w:pPr>
      <w:r w:rsidRPr="00F05A4B">
        <w:rPr>
          <w:rFonts w:ascii="Arial" w:eastAsia="Calibri" w:hAnsi="Arial" w:cs="Arial"/>
          <w:bCs/>
          <w:iCs/>
          <w:sz w:val="24"/>
          <w:szCs w:val="24"/>
          <w:lang w:val="es-ES_tradnl"/>
        </w:rPr>
        <w:t>La penalización del cannabis no impide que las personas accedan a ella, pero las obliga a consumirla en condiciones de ilegalidad y bajo constante amenaza policial.</w:t>
      </w:r>
      <w:r w:rsidRPr="00F05A4B">
        <w:rPr>
          <w:rStyle w:val="Refdenotaalpie"/>
          <w:rFonts w:ascii="Arial" w:eastAsia="Calibri" w:hAnsi="Arial" w:cs="Arial"/>
          <w:bCs/>
          <w:iCs/>
          <w:sz w:val="24"/>
          <w:szCs w:val="24"/>
          <w:lang w:val="es-ES_tradnl"/>
        </w:rPr>
        <w:footnoteReference w:id="26"/>
      </w:r>
      <w:r w:rsidRPr="00F05A4B">
        <w:rPr>
          <w:rFonts w:ascii="Arial" w:eastAsia="Calibri" w:hAnsi="Arial" w:cs="Arial"/>
          <w:bCs/>
          <w:i/>
          <w:iCs/>
          <w:sz w:val="24"/>
          <w:szCs w:val="24"/>
          <w:lang w:val="es-ES_tradnl"/>
        </w:rPr>
        <w:t xml:space="preserve"> </w:t>
      </w:r>
    </w:p>
    <w:p w14:paraId="1C4471D7" w14:textId="77777777" w:rsidR="00F36280" w:rsidRPr="00F05A4B" w:rsidRDefault="00F36280" w:rsidP="00F55092">
      <w:pPr>
        <w:jc w:val="both"/>
        <w:rPr>
          <w:rFonts w:ascii="Arial" w:eastAsia="Calibri" w:hAnsi="Arial" w:cs="Arial"/>
          <w:sz w:val="24"/>
          <w:szCs w:val="24"/>
        </w:rPr>
      </w:pPr>
    </w:p>
    <w:p w14:paraId="08D0192E" w14:textId="729F6FC4" w:rsidR="00F36280" w:rsidRPr="00191D6F" w:rsidRDefault="00F36280" w:rsidP="00191D6F">
      <w:pPr>
        <w:pStyle w:val="Prrafodelista"/>
        <w:numPr>
          <w:ilvl w:val="1"/>
          <w:numId w:val="35"/>
        </w:numPr>
        <w:ind w:left="284"/>
        <w:jc w:val="both"/>
        <w:rPr>
          <w:rFonts w:ascii="Arial" w:eastAsia="Calibri" w:hAnsi="Arial" w:cs="Arial"/>
          <w:b/>
          <w:sz w:val="24"/>
          <w:szCs w:val="24"/>
        </w:rPr>
      </w:pPr>
      <w:r w:rsidRPr="00191D6F">
        <w:rPr>
          <w:rFonts w:ascii="Arial" w:eastAsia="Calibri" w:hAnsi="Arial" w:cs="Arial"/>
          <w:sz w:val="24"/>
          <w:szCs w:val="24"/>
        </w:rPr>
        <w:t xml:space="preserve"> </w:t>
      </w:r>
      <w:r w:rsidRPr="00191D6F">
        <w:rPr>
          <w:rFonts w:ascii="Arial" w:eastAsia="Calibri" w:hAnsi="Arial" w:cs="Arial"/>
          <w:b/>
          <w:sz w:val="24"/>
          <w:szCs w:val="24"/>
        </w:rPr>
        <w:t xml:space="preserve">AFECTACIÓN DEL DERECHO A LA SALUD POR EL CONSUMO DE SUSTANCIAS ESTUPEFACIENTES O PSICOTRÓPICAS. </w:t>
      </w:r>
    </w:p>
    <w:p w14:paraId="3262A58C" w14:textId="77777777" w:rsidR="00F36280" w:rsidRPr="00F05A4B" w:rsidRDefault="00F36280" w:rsidP="00F55092">
      <w:pPr>
        <w:jc w:val="both"/>
        <w:rPr>
          <w:rFonts w:ascii="Arial" w:eastAsia="Calibri" w:hAnsi="Arial" w:cs="Arial"/>
          <w:sz w:val="24"/>
          <w:szCs w:val="24"/>
          <w:lang w:val="es-ES_tradnl"/>
        </w:rPr>
      </w:pPr>
    </w:p>
    <w:p w14:paraId="0D75A94E" w14:textId="1099C294" w:rsidR="00F36280" w:rsidRPr="00F05A4B" w:rsidRDefault="00AF43B7" w:rsidP="00F55092">
      <w:pPr>
        <w:jc w:val="both"/>
        <w:rPr>
          <w:rFonts w:ascii="Arial" w:eastAsia="Calibri" w:hAnsi="Arial" w:cs="Arial"/>
          <w:sz w:val="24"/>
          <w:szCs w:val="24"/>
          <w:lang w:val="es-ES_tradnl"/>
        </w:rPr>
      </w:pPr>
      <w:r>
        <w:rPr>
          <w:rFonts w:ascii="Arial" w:eastAsia="Calibri" w:hAnsi="Arial" w:cs="Arial"/>
          <w:sz w:val="24"/>
          <w:szCs w:val="24"/>
          <w:lang w:val="es-ES_tradnl"/>
        </w:rPr>
        <w:t>En este contexto, v</w:t>
      </w:r>
      <w:r w:rsidR="00F36280" w:rsidRPr="00F05A4B">
        <w:rPr>
          <w:rFonts w:ascii="Arial" w:eastAsia="Calibri" w:hAnsi="Arial" w:cs="Arial"/>
          <w:sz w:val="24"/>
          <w:szCs w:val="24"/>
          <w:lang w:val="es-ES_tradnl"/>
        </w:rPr>
        <w:t>ale la pena preguntarse si el fundamento del Acto Legislativo 02 de 2009</w:t>
      </w:r>
      <w:r w:rsidR="000E548B" w:rsidRPr="00F05A4B">
        <w:rPr>
          <w:rFonts w:ascii="Arial" w:eastAsia="Calibri" w:hAnsi="Arial" w:cs="Arial"/>
          <w:sz w:val="24"/>
          <w:szCs w:val="24"/>
          <w:lang w:val="es-ES_tradnl"/>
        </w:rPr>
        <w:t>,</w:t>
      </w:r>
      <w:r w:rsidR="00F36280" w:rsidRPr="00F05A4B">
        <w:rPr>
          <w:rFonts w:ascii="Arial" w:eastAsia="Calibri" w:hAnsi="Arial" w:cs="Arial"/>
          <w:sz w:val="24"/>
          <w:szCs w:val="24"/>
          <w:lang w:val="es-ES_tradnl"/>
        </w:rPr>
        <w:t xml:space="preserve">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 </w:t>
      </w:r>
    </w:p>
    <w:p w14:paraId="75ECC6B6" w14:textId="77777777" w:rsidR="00F36280" w:rsidRPr="00F05A4B" w:rsidRDefault="00F36280" w:rsidP="00F55092">
      <w:pPr>
        <w:jc w:val="both"/>
        <w:rPr>
          <w:rFonts w:ascii="Arial" w:eastAsia="Calibri" w:hAnsi="Arial" w:cs="Arial"/>
          <w:sz w:val="24"/>
          <w:szCs w:val="24"/>
          <w:lang w:val="es-ES_tradnl"/>
        </w:rPr>
      </w:pPr>
    </w:p>
    <w:p w14:paraId="179028DC"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eastAsia="Calibri" w:hAnsi="Arial" w:cs="Arial"/>
          <w:sz w:val="24"/>
          <w:szCs w:val="24"/>
          <w:lang w:val="es-ES_tradnl"/>
        </w:rPr>
        <w:t xml:space="preserve">Sobre este particular, vale la pena traer a colación </w:t>
      </w:r>
      <w:hyperlink r:id="rId24" w:tgtFrame="_blank" w:history="1">
        <w:r w:rsidRPr="00F05A4B">
          <w:rPr>
            <w:rFonts w:ascii="Arial" w:hAnsi="Arial" w:cs="Arial"/>
            <w:sz w:val="24"/>
            <w:szCs w:val="24"/>
            <w:lang w:val="es-ES_tradnl"/>
          </w:rPr>
          <w:t>el artículo “Drug harms in the UK: a multicriteria decision analysis”</w:t>
        </w:r>
        <w:r w:rsidRPr="00F05A4B">
          <w:rPr>
            <w:rStyle w:val="Refdenotaalpie"/>
            <w:rFonts w:ascii="Arial" w:hAnsi="Arial" w:cs="Arial"/>
            <w:sz w:val="24"/>
            <w:szCs w:val="24"/>
            <w:lang w:val="es-ES_tradnl"/>
          </w:rPr>
          <w:footnoteReference w:id="27"/>
        </w:r>
        <w:r w:rsidRPr="00F05A4B">
          <w:rPr>
            <w:rFonts w:ascii="Arial" w:hAnsi="Arial" w:cs="Arial"/>
            <w:sz w:val="24"/>
            <w:szCs w:val="24"/>
            <w:lang w:val="es-ES_tradnl"/>
          </w:rPr>
          <w:t xml:space="preserve"> publicado en 2010 en el diario médico The Lancet</w:t>
        </w:r>
      </w:hyperlink>
      <w:r w:rsidRPr="00F05A4B">
        <w:rPr>
          <w:rFonts w:ascii="Arial" w:hAnsi="Arial" w:cs="Arial"/>
          <w:sz w:val="24"/>
          <w:szCs w:val="24"/>
          <w:lang w:val="es-ES_tradnl"/>
        </w:rPr>
        <w:t xml:space="preserve">, que evaluó los impactos que las drogas —tanto legales como ilegales— tenían en las personas que las consumían, considerando además el contexto en el cual estas vivían. </w:t>
      </w:r>
    </w:p>
    <w:p w14:paraId="107C3367" w14:textId="77777777" w:rsidR="00F36280" w:rsidRPr="00F05A4B" w:rsidRDefault="00F36280" w:rsidP="00F55092">
      <w:pPr>
        <w:widowControl/>
        <w:shd w:val="clear" w:color="auto" w:fill="FFFFFF"/>
        <w:jc w:val="both"/>
        <w:rPr>
          <w:rFonts w:ascii="Arial" w:hAnsi="Arial" w:cs="Arial"/>
          <w:sz w:val="24"/>
          <w:szCs w:val="24"/>
          <w:lang w:val="es-ES_tradnl"/>
        </w:rPr>
      </w:pPr>
    </w:p>
    <w:p w14:paraId="07CCA1BB"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506535F6" w14:textId="77777777" w:rsidR="00F36280" w:rsidRPr="00F05A4B" w:rsidRDefault="00F36280" w:rsidP="00F55092">
      <w:pPr>
        <w:widowControl/>
        <w:shd w:val="clear" w:color="auto" w:fill="FFFFFF"/>
        <w:jc w:val="both"/>
        <w:rPr>
          <w:rFonts w:ascii="Arial" w:hAnsi="Arial" w:cs="Arial"/>
          <w:sz w:val="24"/>
          <w:szCs w:val="24"/>
          <w:lang w:val="es-ES_tradnl"/>
        </w:rPr>
      </w:pPr>
    </w:p>
    <w:p w14:paraId="55D3EC97" w14:textId="77777777" w:rsidR="00F36280" w:rsidRPr="00F05A4B" w:rsidRDefault="00F36280" w:rsidP="00F55092">
      <w:pPr>
        <w:widowControl/>
        <w:shd w:val="clear" w:color="auto" w:fill="FFFFFF"/>
        <w:jc w:val="center"/>
        <w:rPr>
          <w:rFonts w:ascii="Arial" w:hAnsi="Arial" w:cs="Arial"/>
          <w:b/>
          <w:sz w:val="24"/>
          <w:szCs w:val="24"/>
          <w:lang w:val="es-ES_tradnl"/>
        </w:rPr>
      </w:pPr>
      <w:r w:rsidRPr="00F05A4B">
        <w:rPr>
          <w:rFonts w:ascii="Arial" w:hAnsi="Arial" w:cs="Arial"/>
          <w:b/>
          <w:sz w:val="24"/>
          <w:szCs w:val="24"/>
          <w:lang w:val="es-ES_tradnl"/>
        </w:rPr>
        <w:t>Gráfica 1. Drogas por su nivel de daño, mostrando las contribuciones por tipo (daño al consumidor y daño hacia otros) al puntaje total.</w:t>
      </w:r>
    </w:p>
    <w:p w14:paraId="3E284EF9" w14:textId="73E28C19" w:rsidR="00F36280" w:rsidRPr="00F05A4B" w:rsidRDefault="00F36280" w:rsidP="00F55092">
      <w:pPr>
        <w:widowControl/>
        <w:shd w:val="clear" w:color="auto" w:fill="FFFFFF"/>
        <w:jc w:val="center"/>
        <w:rPr>
          <w:rFonts w:ascii="Arial" w:hAnsi="Arial" w:cs="Arial"/>
          <w:sz w:val="24"/>
          <w:szCs w:val="24"/>
          <w:lang w:val="es-ES_tradnl"/>
        </w:rPr>
      </w:pPr>
      <w:r w:rsidRPr="00F05A4B">
        <w:rPr>
          <w:rFonts w:ascii="Arial" w:hAnsi="Arial" w:cs="Arial"/>
          <w:noProof/>
          <w:sz w:val="24"/>
          <w:szCs w:val="24"/>
        </w:rPr>
        <w:drawing>
          <wp:inline distT="0" distB="0" distL="0" distR="0" wp14:anchorId="1FDF54A5" wp14:editId="2F30E7BC">
            <wp:extent cx="5152767" cy="2455350"/>
            <wp:effectExtent l="0" t="0" r="381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1622" cy="2616818"/>
                    </a:xfrm>
                    <a:prstGeom prst="rect">
                      <a:avLst/>
                    </a:prstGeom>
                    <a:noFill/>
                    <a:ln>
                      <a:noFill/>
                    </a:ln>
                  </pic:spPr>
                </pic:pic>
              </a:graphicData>
            </a:graphic>
          </wp:inline>
        </w:drawing>
      </w:r>
    </w:p>
    <w:p w14:paraId="2B6A7270" w14:textId="77777777" w:rsidR="00F36280" w:rsidRPr="00F05A4B" w:rsidRDefault="00F36280" w:rsidP="00F55092">
      <w:pPr>
        <w:widowControl/>
        <w:shd w:val="clear" w:color="auto" w:fill="FFFFFF"/>
        <w:rPr>
          <w:rFonts w:ascii="Arial" w:hAnsi="Arial" w:cs="Arial"/>
          <w:i/>
          <w:sz w:val="24"/>
          <w:szCs w:val="24"/>
        </w:rPr>
      </w:pPr>
      <w:r w:rsidRPr="00F05A4B">
        <w:rPr>
          <w:rFonts w:ascii="Arial" w:hAnsi="Arial" w:cs="Arial"/>
          <w:i/>
          <w:sz w:val="24"/>
          <w:szCs w:val="24"/>
          <w:lang w:val="en-US"/>
        </w:rPr>
        <w:t xml:space="preserve">Fuente: Drug harms in the UK: a multicriteria decision analysis. </w:t>
      </w:r>
      <w:r w:rsidRPr="00F05A4B">
        <w:rPr>
          <w:rFonts w:ascii="Arial" w:hAnsi="Arial" w:cs="Arial"/>
          <w:i/>
          <w:sz w:val="24"/>
          <w:szCs w:val="24"/>
        </w:rPr>
        <w:t>2010.</w:t>
      </w:r>
    </w:p>
    <w:p w14:paraId="2DB4ED35" w14:textId="77777777" w:rsidR="00F36280" w:rsidRPr="00F05A4B" w:rsidRDefault="00F36280" w:rsidP="00F55092">
      <w:pPr>
        <w:widowControl/>
        <w:shd w:val="clear" w:color="auto" w:fill="FFFFFF"/>
        <w:rPr>
          <w:rFonts w:ascii="Arial" w:hAnsi="Arial" w:cs="Arial"/>
          <w:i/>
          <w:sz w:val="24"/>
          <w:szCs w:val="24"/>
        </w:rPr>
      </w:pPr>
    </w:p>
    <w:p w14:paraId="10FCDEC7" w14:textId="1AE407F3"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De lo anterior se desprende que</w:t>
      </w:r>
      <w:r w:rsidR="000E548B" w:rsidRPr="00F05A4B">
        <w:rPr>
          <w:rFonts w:ascii="Arial" w:hAnsi="Arial" w:cs="Arial"/>
          <w:sz w:val="24"/>
          <w:szCs w:val="24"/>
          <w:lang w:val="es-ES_tradnl"/>
        </w:rPr>
        <w:t>,</w:t>
      </w:r>
      <w:r w:rsidRPr="00F05A4B">
        <w:rPr>
          <w:rFonts w:ascii="Arial" w:hAnsi="Arial" w:cs="Arial"/>
          <w:sz w:val="24"/>
          <w:szCs w:val="24"/>
          <w:lang w:val="es-ES_tradnl"/>
        </w:rPr>
        <w:t xml:space="preserv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w:t>
      </w:r>
    </w:p>
    <w:p w14:paraId="4FFB2792" w14:textId="77777777" w:rsidR="00F36280" w:rsidRPr="00F05A4B" w:rsidRDefault="00F36280" w:rsidP="00F55092">
      <w:pPr>
        <w:widowControl/>
        <w:shd w:val="clear" w:color="auto" w:fill="FFFFFF"/>
        <w:jc w:val="both"/>
        <w:rPr>
          <w:rFonts w:ascii="Arial" w:hAnsi="Arial" w:cs="Arial"/>
          <w:sz w:val="24"/>
          <w:szCs w:val="24"/>
          <w:lang w:val="es-ES_tradnl"/>
        </w:rPr>
      </w:pPr>
    </w:p>
    <w:p w14:paraId="7129FD7A" w14:textId="772A52C5" w:rsidR="00F36280" w:rsidRPr="00F05A4B" w:rsidRDefault="00F36280" w:rsidP="00F55092">
      <w:pPr>
        <w:jc w:val="both"/>
        <w:rPr>
          <w:rFonts w:ascii="Arial" w:eastAsia="Calibri" w:hAnsi="Arial" w:cs="Arial"/>
          <w:i/>
          <w:sz w:val="24"/>
          <w:szCs w:val="24"/>
          <w:lang w:val="es-ES_tradnl"/>
        </w:rPr>
      </w:pPr>
      <w:r w:rsidRPr="00F05A4B">
        <w:rPr>
          <w:rFonts w:ascii="Arial" w:hAnsi="Arial" w:cs="Arial"/>
          <w:sz w:val="24"/>
          <w:szCs w:val="24"/>
          <w:lang w:val="es-ES_tradnl"/>
        </w:rPr>
        <w:t>Se puede concluir entonces que</w:t>
      </w:r>
      <w:r w:rsidR="000E548B" w:rsidRPr="00F05A4B">
        <w:rPr>
          <w:rFonts w:ascii="Arial" w:hAnsi="Arial" w:cs="Arial"/>
          <w:sz w:val="24"/>
          <w:szCs w:val="24"/>
          <w:lang w:val="es-ES_tradnl"/>
        </w:rPr>
        <w:t>,</w:t>
      </w:r>
      <w:r w:rsidRPr="00F05A4B">
        <w:rPr>
          <w:rFonts w:ascii="Arial" w:hAnsi="Arial" w:cs="Arial"/>
          <w:sz w:val="24"/>
          <w:szCs w:val="24"/>
          <w:lang w:val="es-ES_tradnl"/>
        </w:rPr>
        <w:t xml:space="preserve"> es necesario </w:t>
      </w:r>
      <w:r w:rsidRPr="00F05A4B">
        <w:rPr>
          <w:rFonts w:ascii="Arial" w:eastAsia="Calibri" w:hAnsi="Arial" w:cs="Arial"/>
          <w:sz w:val="24"/>
          <w:szCs w:val="24"/>
          <w:lang w:val="es-ES_tradnl"/>
        </w:rPr>
        <w:t>que los Estados diseñen respuestas diferenciadas para cada tipo de población y de sustancia</w:t>
      </w:r>
      <w:r w:rsidR="000E548B" w:rsidRPr="00F05A4B">
        <w:rPr>
          <w:rFonts w:ascii="Arial" w:eastAsia="Calibri" w:hAnsi="Arial" w:cs="Arial"/>
          <w:sz w:val="24"/>
          <w:szCs w:val="24"/>
          <w:lang w:val="es-ES_tradnl"/>
        </w:rPr>
        <w:t>,</w:t>
      </w:r>
      <w:r w:rsidRPr="00F05A4B">
        <w:rPr>
          <w:rFonts w:ascii="Arial" w:eastAsia="Calibri" w:hAnsi="Arial" w:cs="Arial"/>
          <w:sz w:val="24"/>
          <w:szCs w:val="24"/>
          <w:lang w:val="es-ES_tradnl"/>
        </w:rPr>
        <w:t xml:space="preserve"> ya que, como ya lo había advertido la Corte Constitucional en el año 1994 </w:t>
      </w:r>
      <w:r w:rsidRPr="00F05A4B">
        <w:rPr>
          <w:rFonts w:ascii="Arial" w:eastAsia="Calibri" w:hAnsi="Arial" w:cs="Arial"/>
          <w:i/>
          <w:sz w:val="24"/>
          <w:szCs w:val="24"/>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F05A4B">
        <w:rPr>
          <w:rStyle w:val="Refdenotaalpie"/>
          <w:rFonts w:ascii="Arial" w:eastAsia="Calibri" w:hAnsi="Arial" w:cs="Arial"/>
          <w:i/>
          <w:sz w:val="24"/>
          <w:szCs w:val="24"/>
          <w:lang w:val="es-ES_tradnl"/>
        </w:rPr>
        <w:footnoteReference w:id="28"/>
      </w:r>
    </w:p>
    <w:p w14:paraId="72EE31AB" w14:textId="77777777" w:rsidR="00F36280" w:rsidRPr="00F05A4B" w:rsidRDefault="00F36280" w:rsidP="00F55092">
      <w:pPr>
        <w:widowControl/>
        <w:shd w:val="clear" w:color="auto" w:fill="FFFFFF"/>
        <w:jc w:val="both"/>
        <w:rPr>
          <w:rFonts w:ascii="Arial" w:hAnsi="Arial" w:cs="Arial"/>
          <w:sz w:val="24"/>
          <w:szCs w:val="24"/>
          <w:lang w:val="es-ES_tradnl"/>
        </w:rPr>
      </w:pPr>
    </w:p>
    <w:p w14:paraId="36F4732B"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Ahora bien, el mismo artículo citado con anterioridad, realizó un análisis sobre las drogas que causan daño al consumidor y las drogas que causan daño a otros. A continuación, se presenta el resultado.</w:t>
      </w:r>
    </w:p>
    <w:p w14:paraId="5AF310CF" w14:textId="77777777" w:rsidR="00F36280" w:rsidRPr="00F05A4B" w:rsidRDefault="00F36280" w:rsidP="00F55092">
      <w:pPr>
        <w:widowControl/>
        <w:shd w:val="clear" w:color="auto" w:fill="FFFFFF"/>
        <w:rPr>
          <w:rFonts w:ascii="Arial" w:hAnsi="Arial" w:cs="Arial"/>
          <w:i/>
          <w:sz w:val="24"/>
          <w:szCs w:val="24"/>
        </w:rPr>
      </w:pPr>
    </w:p>
    <w:p w14:paraId="39D8CD63" w14:textId="77777777" w:rsidR="00F36280" w:rsidRPr="00F05A4B" w:rsidRDefault="00F36280" w:rsidP="00F55092">
      <w:pPr>
        <w:widowControl/>
        <w:shd w:val="clear" w:color="auto" w:fill="FFFFFF"/>
        <w:jc w:val="center"/>
        <w:rPr>
          <w:rFonts w:ascii="Arial" w:hAnsi="Arial" w:cs="Arial"/>
          <w:b/>
          <w:sz w:val="24"/>
          <w:szCs w:val="24"/>
        </w:rPr>
      </w:pPr>
      <w:r w:rsidRPr="00F05A4B">
        <w:rPr>
          <w:rFonts w:ascii="Arial" w:hAnsi="Arial" w:cs="Arial"/>
          <w:b/>
          <w:sz w:val="24"/>
          <w:szCs w:val="24"/>
        </w:rPr>
        <w:t>Gráfica 2.</w:t>
      </w:r>
      <w:r w:rsidRPr="00F05A4B">
        <w:rPr>
          <w:rFonts w:ascii="Arial" w:hAnsi="Arial" w:cs="Arial"/>
          <w:b/>
          <w:sz w:val="24"/>
          <w:szCs w:val="24"/>
          <w:lang w:val="es-ES_tradnl"/>
        </w:rPr>
        <w:t xml:space="preserve"> Drogas mostradas por su daño al consumidor y daño hacia otros.</w:t>
      </w:r>
    </w:p>
    <w:p w14:paraId="4D4C0FED" w14:textId="4C34E95E" w:rsidR="00F36280" w:rsidRPr="00F05A4B" w:rsidRDefault="00F36280" w:rsidP="001E451B">
      <w:pPr>
        <w:widowControl/>
        <w:shd w:val="clear" w:color="auto" w:fill="FFFFFF"/>
        <w:jc w:val="center"/>
        <w:rPr>
          <w:rFonts w:ascii="Arial" w:hAnsi="Arial" w:cs="Arial"/>
          <w:sz w:val="24"/>
          <w:szCs w:val="24"/>
          <w:lang w:val="en-US"/>
        </w:rPr>
      </w:pPr>
      <w:r w:rsidRPr="00F05A4B">
        <w:rPr>
          <w:rFonts w:ascii="Arial" w:hAnsi="Arial" w:cs="Arial"/>
          <w:noProof/>
          <w:sz w:val="24"/>
          <w:szCs w:val="24"/>
        </w:rPr>
        <w:drawing>
          <wp:inline distT="0" distB="0" distL="0" distR="0" wp14:anchorId="1E119011" wp14:editId="62A0B6EC">
            <wp:extent cx="5128054" cy="4007634"/>
            <wp:effectExtent l="0" t="0" r="317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38143" cy="4015519"/>
                    </a:xfrm>
                    <a:prstGeom prst="rect">
                      <a:avLst/>
                    </a:prstGeom>
                  </pic:spPr>
                </pic:pic>
              </a:graphicData>
            </a:graphic>
          </wp:inline>
        </w:drawing>
      </w:r>
    </w:p>
    <w:p w14:paraId="7A0BE371" w14:textId="77777777" w:rsidR="00F36280" w:rsidRPr="00F05A4B" w:rsidRDefault="00F36280" w:rsidP="00F55092">
      <w:pPr>
        <w:widowControl/>
        <w:shd w:val="clear" w:color="auto" w:fill="FFFFFF"/>
        <w:jc w:val="both"/>
        <w:rPr>
          <w:rFonts w:ascii="Arial" w:hAnsi="Arial" w:cs="Arial"/>
          <w:i/>
          <w:sz w:val="24"/>
          <w:szCs w:val="24"/>
        </w:rPr>
      </w:pPr>
      <w:r w:rsidRPr="00F05A4B">
        <w:rPr>
          <w:rFonts w:ascii="Arial" w:hAnsi="Arial" w:cs="Arial"/>
          <w:i/>
          <w:sz w:val="24"/>
          <w:szCs w:val="24"/>
          <w:lang w:val="en-US"/>
        </w:rPr>
        <w:t xml:space="preserve">Fuente: Drug harms in the UK: a multicriteria decision analysis. </w:t>
      </w:r>
      <w:r w:rsidRPr="00F05A4B">
        <w:rPr>
          <w:rFonts w:ascii="Arial" w:hAnsi="Arial" w:cs="Arial"/>
          <w:i/>
          <w:sz w:val="24"/>
          <w:szCs w:val="24"/>
        </w:rPr>
        <w:t>2010.</w:t>
      </w:r>
    </w:p>
    <w:p w14:paraId="352158EB" w14:textId="77777777" w:rsidR="00F36280" w:rsidRPr="00F05A4B" w:rsidRDefault="00F36280" w:rsidP="00F55092">
      <w:pPr>
        <w:jc w:val="both"/>
        <w:rPr>
          <w:rFonts w:ascii="Arial" w:eastAsia="Calibri" w:hAnsi="Arial" w:cs="Arial"/>
          <w:sz w:val="24"/>
          <w:szCs w:val="24"/>
          <w:lang w:val="es-ES_tradnl"/>
        </w:rPr>
      </w:pPr>
    </w:p>
    <w:p w14:paraId="5B5CF461"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1818123F" w14:textId="77777777" w:rsidR="00F36280" w:rsidRPr="00F05A4B" w:rsidRDefault="00F36280" w:rsidP="00F55092">
      <w:pPr>
        <w:widowControl/>
        <w:shd w:val="clear" w:color="auto" w:fill="FFFFFF"/>
        <w:jc w:val="both"/>
        <w:rPr>
          <w:rFonts w:ascii="Arial" w:hAnsi="Arial" w:cs="Arial"/>
          <w:sz w:val="24"/>
          <w:szCs w:val="24"/>
          <w:lang w:val="es-ES_tradnl"/>
        </w:rPr>
      </w:pPr>
    </w:p>
    <w:p w14:paraId="6E80A8AA"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 xml:space="preserve">Adicionalmente, es importante </w:t>
      </w:r>
      <w:r w:rsidRPr="00F05A4B">
        <w:rPr>
          <w:rFonts w:ascii="Arial" w:eastAsia="Calibri" w:hAnsi="Arial" w:cs="Arial"/>
          <w:sz w:val="24"/>
          <w:szCs w:val="24"/>
          <w:lang w:val="es-ES_tradnl"/>
        </w:rPr>
        <w:t xml:space="preserve">diferenciar el consumo problemático, del consumo ocasional o recreativo, siendo este segundo un tipo de consumo que no necesariamente tiene afectación sobre la salud pública, ni sobre los derechos de los demás. </w:t>
      </w:r>
    </w:p>
    <w:p w14:paraId="58D38149" w14:textId="77777777" w:rsidR="00F36280" w:rsidRPr="00F05A4B" w:rsidRDefault="00F36280" w:rsidP="00F55092">
      <w:pPr>
        <w:widowControl/>
        <w:shd w:val="clear" w:color="auto" w:fill="FFFFFF"/>
        <w:jc w:val="both"/>
        <w:rPr>
          <w:rFonts w:ascii="Arial" w:hAnsi="Arial" w:cs="Arial"/>
          <w:sz w:val="24"/>
          <w:szCs w:val="24"/>
          <w:lang w:val="es-ES_tradnl"/>
        </w:rPr>
      </w:pPr>
    </w:p>
    <w:p w14:paraId="4513AD5A" w14:textId="77777777" w:rsidR="00F36280" w:rsidRPr="00F05A4B" w:rsidRDefault="00F36280" w:rsidP="00F55092">
      <w:pPr>
        <w:widowControl/>
        <w:shd w:val="clear" w:color="auto" w:fill="FFFFFF"/>
        <w:jc w:val="both"/>
        <w:rPr>
          <w:rFonts w:ascii="Arial" w:hAnsi="Arial" w:cs="Arial"/>
          <w:sz w:val="24"/>
          <w:szCs w:val="24"/>
          <w:lang w:val="es-ES_tradnl"/>
        </w:rPr>
      </w:pPr>
      <w:r w:rsidRPr="00F05A4B">
        <w:rPr>
          <w:rFonts w:ascii="Arial" w:hAnsi="Arial" w:cs="Arial"/>
          <w:sz w:val="24"/>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F05A4B">
        <w:rPr>
          <w:rStyle w:val="Refdenotaalpie"/>
          <w:rFonts w:ascii="Arial" w:hAnsi="Arial" w:cs="Arial"/>
          <w:sz w:val="24"/>
          <w:szCs w:val="24"/>
          <w:lang w:val="es-ES_tradnl"/>
        </w:rPr>
        <w:footnoteReference w:id="29"/>
      </w:r>
      <w:r w:rsidRPr="00F05A4B">
        <w:rPr>
          <w:rFonts w:ascii="Arial" w:hAnsi="Arial" w:cs="Arial"/>
          <w:sz w:val="24"/>
          <w:szCs w:val="24"/>
          <w:lang w:val="es-ES_tradnl"/>
        </w:rPr>
        <w:t>.</w:t>
      </w:r>
    </w:p>
    <w:p w14:paraId="1EEE3BC0" w14:textId="77777777" w:rsidR="00F36280" w:rsidRPr="00F05A4B" w:rsidRDefault="00F36280" w:rsidP="00F55092">
      <w:pPr>
        <w:widowControl/>
        <w:shd w:val="clear" w:color="auto" w:fill="FFFFFF"/>
        <w:jc w:val="both"/>
        <w:rPr>
          <w:rFonts w:ascii="Arial" w:hAnsi="Arial" w:cs="Arial"/>
          <w:sz w:val="24"/>
          <w:szCs w:val="24"/>
          <w:lang w:val="es-ES_tradnl"/>
        </w:rPr>
      </w:pPr>
    </w:p>
    <w:p w14:paraId="3476F75D" w14:textId="77777777" w:rsidR="00F36280" w:rsidRPr="00F05A4B" w:rsidRDefault="00F36280" w:rsidP="00F55092">
      <w:pPr>
        <w:widowControl/>
        <w:shd w:val="clear" w:color="auto" w:fill="FFFFFF"/>
        <w:jc w:val="both"/>
        <w:rPr>
          <w:rFonts w:ascii="Arial" w:eastAsia="Calibri" w:hAnsi="Arial" w:cs="Arial"/>
          <w:sz w:val="24"/>
          <w:szCs w:val="24"/>
          <w:lang w:val="es-ES_tradnl"/>
        </w:rPr>
      </w:pPr>
      <w:r w:rsidRPr="00F05A4B">
        <w:rPr>
          <w:rFonts w:ascii="Arial" w:hAnsi="Arial" w:cs="Arial"/>
          <w:sz w:val="24"/>
          <w:szCs w:val="24"/>
          <w:lang w:val="es-ES_tradnl"/>
        </w:rPr>
        <w:t xml:space="preserve">Si lo que se pretendió con el Acto Legislativo 02 de 2009 fue entonces proteger el derecho a la salud, </w:t>
      </w:r>
      <w:r w:rsidRPr="00F05A4B">
        <w:rPr>
          <w:rFonts w:ascii="Arial" w:eastAsia="Calibri" w:hAnsi="Arial" w:cs="Arial"/>
          <w:sz w:val="24"/>
          <w:szCs w:val="24"/>
          <w:lang w:val="es-ES_tradnl"/>
        </w:rPr>
        <w:t>es necesario que el Estado colombiano adopte las medidas correspondientes para aplicar los principios de la salud pública, en vez de promover una política de naturaleza prohibitiva y penal.</w:t>
      </w:r>
      <w:r w:rsidRPr="00F05A4B">
        <w:rPr>
          <w:rStyle w:val="Refdenotaalpie"/>
          <w:rFonts w:ascii="Arial" w:eastAsia="Calibri" w:hAnsi="Arial" w:cs="Arial"/>
          <w:sz w:val="24"/>
          <w:szCs w:val="24"/>
          <w:lang w:val="es-ES_tradnl"/>
        </w:rPr>
        <w:footnoteReference w:id="30"/>
      </w:r>
    </w:p>
    <w:p w14:paraId="7BF25DB0" w14:textId="77777777" w:rsidR="00F36280" w:rsidRPr="00F05A4B" w:rsidRDefault="00F36280" w:rsidP="00F55092">
      <w:pPr>
        <w:jc w:val="both"/>
        <w:rPr>
          <w:rFonts w:ascii="Arial" w:eastAsia="Calibri" w:hAnsi="Arial" w:cs="Arial"/>
          <w:sz w:val="24"/>
          <w:szCs w:val="24"/>
          <w:lang w:val="es-ES_tradnl"/>
        </w:rPr>
      </w:pPr>
    </w:p>
    <w:p w14:paraId="1C012C97" w14:textId="77777777" w:rsidR="00F36280" w:rsidRPr="00F05A4B" w:rsidRDefault="00F36280"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F05A4B">
        <w:rPr>
          <w:rStyle w:val="Refdenotaalpie"/>
          <w:rFonts w:ascii="Arial" w:eastAsia="Calibri" w:hAnsi="Arial" w:cs="Arial"/>
          <w:sz w:val="24"/>
          <w:szCs w:val="24"/>
          <w:lang w:val="es-ES_tradnl"/>
        </w:rPr>
        <w:footnoteReference w:id="31"/>
      </w:r>
    </w:p>
    <w:p w14:paraId="741855E0" w14:textId="77777777" w:rsidR="00F36280" w:rsidRPr="00F05A4B" w:rsidRDefault="00F36280" w:rsidP="00F55092">
      <w:pPr>
        <w:jc w:val="both"/>
        <w:rPr>
          <w:rFonts w:ascii="Arial" w:eastAsia="Calibri" w:hAnsi="Arial" w:cs="Arial"/>
          <w:sz w:val="24"/>
          <w:szCs w:val="24"/>
          <w:lang w:val="es-ES_tradnl"/>
        </w:rPr>
      </w:pPr>
    </w:p>
    <w:p w14:paraId="64A354FB" w14:textId="77777777" w:rsidR="00F36280" w:rsidRPr="00F05A4B" w:rsidRDefault="00F36280"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recreativo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F05A4B">
        <w:rPr>
          <w:rStyle w:val="Refdenotaalpie"/>
          <w:rFonts w:ascii="Arial" w:eastAsia="Calibri" w:hAnsi="Arial" w:cs="Arial"/>
          <w:sz w:val="24"/>
          <w:szCs w:val="24"/>
          <w:lang w:val="es-ES_tradnl"/>
        </w:rPr>
        <w:footnoteReference w:id="32"/>
      </w:r>
    </w:p>
    <w:p w14:paraId="68FFFC85" w14:textId="77777777" w:rsidR="00F36280" w:rsidRPr="00F05A4B" w:rsidRDefault="00F36280" w:rsidP="00F55092">
      <w:pPr>
        <w:jc w:val="both"/>
        <w:rPr>
          <w:rFonts w:ascii="Arial" w:eastAsia="Calibri" w:hAnsi="Arial" w:cs="Arial"/>
          <w:sz w:val="24"/>
          <w:szCs w:val="24"/>
          <w:lang w:val="es-ES_tradnl"/>
        </w:rPr>
      </w:pPr>
    </w:p>
    <w:p w14:paraId="3F876444" w14:textId="77777777" w:rsidR="00F36280" w:rsidRPr="00F05A4B" w:rsidRDefault="00F36280" w:rsidP="00F55092">
      <w:pPr>
        <w:jc w:val="both"/>
        <w:rPr>
          <w:rFonts w:ascii="Arial" w:hAnsi="Arial" w:cs="Arial"/>
          <w:i/>
          <w:sz w:val="24"/>
          <w:szCs w:val="24"/>
          <w:lang w:val="es-ES_tradnl"/>
        </w:rPr>
      </w:pPr>
      <w:r w:rsidRPr="00F05A4B">
        <w:rPr>
          <w:rFonts w:ascii="Arial" w:eastAsia="Calibri" w:hAnsi="Arial" w:cs="Arial"/>
          <w:sz w:val="24"/>
          <w:szCs w:val="24"/>
          <w:lang w:val="es-ES_tradnl"/>
        </w:rPr>
        <w:t xml:space="preserve">Durante los últimos 25 años luego de que la Honorable Corte Constitucional profiriera </w:t>
      </w:r>
      <w:r w:rsidRPr="00F05A4B">
        <w:rPr>
          <w:rFonts w:ascii="Arial" w:hAnsi="Arial" w:cs="Arial"/>
          <w:sz w:val="24"/>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F05A4B">
        <w:rPr>
          <w:rFonts w:ascii="Arial" w:hAnsi="Arial" w:cs="Arial"/>
          <w:i/>
          <w:sz w:val="24"/>
          <w:szCs w:val="24"/>
          <w:lang w:val="es-ES_tradnl"/>
        </w:rPr>
        <w:t>la penalización del consumo de drogas, que se hace en nombre de la salud, es desastrosa para la salud pública y para los propios consumidores.</w:t>
      </w:r>
    </w:p>
    <w:p w14:paraId="481E5866" w14:textId="77777777" w:rsidR="00F36280" w:rsidRPr="00F05A4B" w:rsidRDefault="00F36280" w:rsidP="00F55092">
      <w:pPr>
        <w:jc w:val="both"/>
        <w:rPr>
          <w:rFonts w:ascii="Arial" w:eastAsia="Calibri" w:hAnsi="Arial" w:cs="Arial"/>
          <w:sz w:val="24"/>
          <w:szCs w:val="24"/>
          <w:lang w:val="es-ES_tradnl"/>
        </w:rPr>
      </w:pPr>
    </w:p>
    <w:p w14:paraId="4F3216C6" w14:textId="414CD68A" w:rsidR="00F36280" w:rsidRDefault="00F36280" w:rsidP="00F55092">
      <w:pPr>
        <w:jc w:val="both"/>
        <w:rPr>
          <w:rFonts w:ascii="Arial" w:hAnsi="Arial" w:cs="Arial"/>
          <w:sz w:val="24"/>
          <w:szCs w:val="24"/>
          <w:lang w:val="es-ES_tradnl"/>
        </w:rPr>
      </w:pPr>
      <w:r w:rsidRPr="00F05A4B">
        <w:rPr>
          <w:rFonts w:ascii="Arial" w:eastAsia="Calibri" w:hAnsi="Arial" w:cs="Arial"/>
          <w:sz w:val="24"/>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F05A4B">
        <w:rPr>
          <w:rFonts w:ascii="Arial" w:hAnsi="Arial" w:cs="Arial"/>
          <w:sz w:val="24"/>
          <w:szCs w:val="24"/>
          <w:lang w:val="es-ES_tradnl"/>
        </w:rPr>
        <w:t>Esto no solo incrementa los riesgos sanitarios para los consumidores, sino que además evita que aquellos con problemas de dependencia busquen ayuda, pues temen la sanción y es profundamente discriminatorio.</w:t>
      </w:r>
      <w:r w:rsidRPr="00F05A4B">
        <w:rPr>
          <w:rStyle w:val="Refdenotaalpie"/>
          <w:rFonts w:ascii="Arial" w:hAnsi="Arial" w:cs="Arial"/>
          <w:sz w:val="24"/>
          <w:szCs w:val="24"/>
          <w:lang w:val="es-ES_tradnl"/>
        </w:rPr>
        <w:footnoteReference w:id="33"/>
      </w:r>
    </w:p>
    <w:p w14:paraId="3BCF3E1B" w14:textId="188E60B6" w:rsidR="00191D6F" w:rsidRDefault="00191D6F" w:rsidP="00F55092">
      <w:pPr>
        <w:jc w:val="both"/>
        <w:rPr>
          <w:rFonts w:ascii="Arial" w:hAnsi="Arial" w:cs="Arial"/>
          <w:sz w:val="24"/>
          <w:szCs w:val="24"/>
          <w:lang w:val="es-ES_tradnl"/>
        </w:rPr>
      </w:pPr>
    </w:p>
    <w:p w14:paraId="6DD23C2C" w14:textId="764555B3" w:rsidR="00191D6F" w:rsidRPr="00F05A4B" w:rsidRDefault="00191D6F" w:rsidP="00191D6F">
      <w:pPr>
        <w:pStyle w:val="Ttulo2"/>
        <w:numPr>
          <w:ilvl w:val="1"/>
          <w:numId w:val="35"/>
        </w:numPr>
        <w:ind w:left="284"/>
        <w:jc w:val="both"/>
        <w:rPr>
          <w:rFonts w:ascii="Arial" w:eastAsia="Calibri" w:hAnsi="Arial" w:cs="Arial"/>
          <w:sz w:val="24"/>
          <w:szCs w:val="24"/>
        </w:rPr>
      </w:pPr>
      <w:r w:rsidRPr="00F05A4B">
        <w:rPr>
          <w:rFonts w:ascii="Arial" w:eastAsia="Calibri" w:hAnsi="Arial" w:cs="Arial"/>
          <w:sz w:val="24"/>
          <w:szCs w:val="24"/>
        </w:rPr>
        <w:t>ANÁLISIS DE LA EFECTIVIDAD DE LA POLÍTICA DE CRIMINALIZACIÓN DEL PORTE Y CONSUMO DE DROGAS</w:t>
      </w:r>
    </w:p>
    <w:p w14:paraId="36CB1D16" w14:textId="77777777" w:rsidR="00191D6F" w:rsidRPr="00F05A4B" w:rsidRDefault="00191D6F" w:rsidP="00191D6F">
      <w:pPr>
        <w:jc w:val="both"/>
        <w:rPr>
          <w:rFonts w:ascii="Arial" w:hAnsi="Arial" w:cs="Arial"/>
          <w:sz w:val="24"/>
          <w:szCs w:val="24"/>
        </w:rPr>
      </w:pPr>
    </w:p>
    <w:p w14:paraId="2927A8B0"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La política de drogas en Colombia se ha enfocado en: “</w:t>
      </w:r>
      <w:r w:rsidRPr="00F05A4B">
        <w:rPr>
          <w:rFonts w:ascii="Arial" w:hAnsi="Arial" w:cs="Arial"/>
          <w:i/>
          <w:iCs/>
          <w:sz w:val="24"/>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F05A4B">
        <w:rPr>
          <w:rFonts w:ascii="Arial" w:hAnsi="Arial" w:cs="Arial"/>
          <w:sz w:val="24"/>
          <w:szCs w:val="24"/>
        </w:rPr>
        <w:t>”.</w:t>
      </w:r>
      <w:r w:rsidRPr="00F05A4B">
        <w:rPr>
          <w:rStyle w:val="Refdenotaalpie"/>
          <w:rFonts w:ascii="Arial" w:hAnsi="Arial" w:cs="Arial"/>
          <w:sz w:val="24"/>
          <w:szCs w:val="24"/>
        </w:rPr>
        <w:footnoteReference w:id="34"/>
      </w:r>
      <w:r w:rsidRPr="00F05A4B">
        <w:rPr>
          <w:rFonts w:ascii="Arial" w:hAnsi="Arial" w:cs="Arial"/>
          <w:sz w:val="24"/>
          <w:szCs w:val="24"/>
        </w:rPr>
        <w:t xml:space="preserve"> Por tanto, Dejusticia para el 2017, en “</w:t>
      </w:r>
      <w:r w:rsidRPr="00F05A4B">
        <w:rPr>
          <w:rFonts w:ascii="Arial" w:hAnsi="Arial" w:cs="Arial"/>
          <w:i/>
          <w:iCs/>
          <w:sz w:val="24"/>
          <w:szCs w:val="24"/>
        </w:rPr>
        <w:t>Sobredosis Carcelaria y Política de Drogas en América Latina</w:t>
      </w:r>
      <w:r w:rsidRPr="00F05A4B">
        <w:rPr>
          <w:rFonts w:ascii="Arial" w:hAnsi="Arial" w:cs="Arial"/>
          <w:sz w:val="24"/>
          <w:szCs w:val="24"/>
        </w:rPr>
        <w:t>”, ha señalado que el sistema carcelario en Colombia ha acarreado un costo muy alto por el prohibicionismo de las drogas.</w:t>
      </w:r>
      <w:r w:rsidRPr="00F05A4B">
        <w:rPr>
          <w:rStyle w:val="Refdenotaalpie"/>
          <w:rFonts w:ascii="Arial" w:hAnsi="Arial" w:cs="Arial"/>
          <w:sz w:val="24"/>
          <w:szCs w:val="24"/>
        </w:rPr>
        <w:footnoteReference w:id="35"/>
      </w:r>
      <w:r w:rsidRPr="00F05A4B">
        <w:rPr>
          <w:rFonts w:ascii="Arial" w:hAnsi="Arial" w:cs="Arial"/>
          <w:sz w:val="24"/>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F05A4B">
        <w:rPr>
          <w:rStyle w:val="Refdenotaalpie"/>
          <w:rFonts w:ascii="Arial" w:hAnsi="Arial" w:cs="Arial"/>
          <w:sz w:val="24"/>
          <w:szCs w:val="24"/>
        </w:rPr>
        <w:footnoteReference w:id="36"/>
      </w:r>
    </w:p>
    <w:p w14:paraId="717F3DA7" w14:textId="77777777" w:rsidR="00191D6F" w:rsidRPr="00F05A4B" w:rsidRDefault="00191D6F" w:rsidP="00191D6F">
      <w:pPr>
        <w:jc w:val="both"/>
        <w:rPr>
          <w:rFonts w:ascii="Arial" w:hAnsi="Arial" w:cs="Arial"/>
          <w:sz w:val="24"/>
          <w:szCs w:val="24"/>
        </w:rPr>
      </w:pPr>
    </w:p>
    <w:p w14:paraId="396D2814"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En otras palabras, en Colombia la política de drogas se ha concentrado en la acción punitiva, generando los siguientes efectos indeseados, de acuerdo a Dejusticia 2017</w:t>
      </w:r>
      <w:r w:rsidRPr="00F05A4B">
        <w:rPr>
          <w:rStyle w:val="Refdenotaalpie"/>
          <w:rFonts w:ascii="Arial" w:hAnsi="Arial" w:cs="Arial"/>
          <w:sz w:val="24"/>
          <w:szCs w:val="24"/>
        </w:rPr>
        <w:footnoteReference w:id="37"/>
      </w:r>
      <w:r w:rsidRPr="00F05A4B">
        <w:rPr>
          <w:rFonts w:ascii="Arial" w:hAnsi="Arial" w:cs="Arial"/>
          <w:sz w:val="24"/>
          <w:szCs w:val="24"/>
        </w:rPr>
        <w:t>:</w:t>
      </w:r>
    </w:p>
    <w:p w14:paraId="2BA75D36" w14:textId="77777777" w:rsidR="00191D6F" w:rsidRPr="00F05A4B" w:rsidRDefault="00191D6F" w:rsidP="00191D6F">
      <w:pPr>
        <w:jc w:val="both"/>
        <w:rPr>
          <w:rFonts w:ascii="Arial" w:hAnsi="Arial" w:cs="Arial"/>
          <w:sz w:val="24"/>
          <w:szCs w:val="24"/>
        </w:rPr>
      </w:pPr>
    </w:p>
    <w:p w14:paraId="42C837C2" w14:textId="5F53CF51" w:rsidR="00191D6F" w:rsidRPr="001E451B" w:rsidRDefault="00191D6F" w:rsidP="001E451B">
      <w:pPr>
        <w:pStyle w:val="Prrafodelista"/>
        <w:numPr>
          <w:ilvl w:val="0"/>
          <w:numId w:val="10"/>
        </w:numPr>
        <w:spacing w:after="0" w:line="240" w:lineRule="auto"/>
        <w:ind w:right="758"/>
        <w:jc w:val="both"/>
        <w:rPr>
          <w:rFonts w:ascii="Arial" w:hAnsi="Arial" w:cs="Arial"/>
          <w:sz w:val="24"/>
          <w:szCs w:val="24"/>
        </w:rPr>
      </w:pPr>
      <w:r w:rsidRPr="00F05A4B">
        <w:rPr>
          <w:rFonts w:ascii="Arial" w:hAnsi="Arial" w:cs="Arial"/>
          <w:sz w:val="24"/>
          <w:szCs w:val="24"/>
        </w:rPr>
        <w:t xml:space="preserve">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0DF0F550" w14:textId="024A0197" w:rsidR="001E451B" w:rsidRPr="001E451B" w:rsidRDefault="00191D6F" w:rsidP="001E451B">
      <w:pPr>
        <w:pStyle w:val="Prrafodelista"/>
        <w:numPr>
          <w:ilvl w:val="0"/>
          <w:numId w:val="10"/>
        </w:numPr>
        <w:spacing w:after="0" w:line="240" w:lineRule="auto"/>
        <w:ind w:right="758"/>
        <w:jc w:val="both"/>
        <w:rPr>
          <w:rFonts w:ascii="Arial" w:hAnsi="Arial" w:cs="Arial"/>
          <w:sz w:val="24"/>
          <w:szCs w:val="24"/>
        </w:rPr>
      </w:pPr>
      <w:r w:rsidRPr="00F05A4B">
        <w:rPr>
          <w:rFonts w:ascii="Arial" w:hAnsi="Arial" w:cs="Arial"/>
          <w:sz w:val="24"/>
          <w:szCs w:val="24"/>
        </w:rPr>
        <w:t xml:space="preserve">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593517DD" w14:textId="77777777" w:rsidR="00191D6F" w:rsidRPr="00F05A4B" w:rsidRDefault="00191D6F" w:rsidP="00191D6F">
      <w:pPr>
        <w:pStyle w:val="Prrafodelista"/>
        <w:numPr>
          <w:ilvl w:val="0"/>
          <w:numId w:val="10"/>
        </w:numPr>
        <w:spacing w:after="0" w:line="240" w:lineRule="auto"/>
        <w:ind w:right="758"/>
        <w:jc w:val="both"/>
        <w:rPr>
          <w:rFonts w:ascii="Arial" w:hAnsi="Arial" w:cs="Arial"/>
          <w:sz w:val="24"/>
          <w:szCs w:val="24"/>
        </w:rPr>
      </w:pPr>
      <w:r w:rsidRPr="00F05A4B">
        <w:rPr>
          <w:rFonts w:ascii="Arial" w:hAnsi="Arial" w:cs="Arial"/>
          <w:sz w:val="24"/>
          <w:szCs w:val="24"/>
        </w:rPr>
        <w:t xml:space="preserve">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64E16C00" w14:textId="77777777" w:rsidR="00191D6F" w:rsidRPr="00F05A4B" w:rsidRDefault="00191D6F" w:rsidP="00191D6F">
      <w:pPr>
        <w:pStyle w:val="Prrafodelista"/>
        <w:spacing w:after="0" w:line="240" w:lineRule="auto"/>
        <w:ind w:right="758"/>
        <w:jc w:val="both"/>
        <w:rPr>
          <w:rFonts w:ascii="Arial" w:hAnsi="Arial" w:cs="Arial"/>
          <w:sz w:val="24"/>
          <w:szCs w:val="24"/>
        </w:rPr>
      </w:pPr>
    </w:p>
    <w:p w14:paraId="36F9195D"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F05A4B">
        <w:rPr>
          <w:rStyle w:val="Refdenotaalpie"/>
          <w:rFonts w:ascii="Arial" w:hAnsi="Arial" w:cs="Arial"/>
          <w:sz w:val="24"/>
          <w:szCs w:val="24"/>
        </w:rPr>
        <w:footnoteReference w:id="38"/>
      </w:r>
      <w:r w:rsidRPr="00F05A4B">
        <w:rPr>
          <w:rFonts w:ascii="Arial" w:hAnsi="Arial" w:cs="Arial"/>
          <w:sz w:val="24"/>
          <w:szCs w:val="24"/>
        </w:rPr>
        <w:t>:</w:t>
      </w:r>
    </w:p>
    <w:p w14:paraId="0D4EC4B4" w14:textId="77777777" w:rsidR="00191D6F" w:rsidRPr="00F05A4B" w:rsidRDefault="00191D6F" w:rsidP="00191D6F">
      <w:pPr>
        <w:jc w:val="both"/>
        <w:rPr>
          <w:rFonts w:ascii="Arial" w:hAnsi="Arial" w:cs="Arial"/>
          <w:sz w:val="24"/>
          <w:szCs w:val="24"/>
        </w:rPr>
      </w:pPr>
    </w:p>
    <w:p w14:paraId="31525A55" w14:textId="51A49111" w:rsidR="00191D6F" w:rsidRPr="001E451B" w:rsidRDefault="00191D6F" w:rsidP="001E451B">
      <w:pPr>
        <w:pStyle w:val="Prrafodelista"/>
        <w:numPr>
          <w:ilvl w:val="0"/>
          <w:numId w:val="11"/>
        </w:numPr>
        <w:spacing w:after="0" w:line="240" w:lineRule="auto"/>
        <w:jc w:val="both"/>
        <w:rPr>
          <w:rFonts w:ascii="Arial" w:hAnsi="Arial" w:cs="Arial"/>
          <w:sz w:val="24"/>
          <w:szCs w:val="24"/>
        </w:rPr>
      </w:pPr>
      <w:r w:rsidRPr="00F05A4B">
        <w:rPr>
          <w:rFonts w:ascii="Arial" w:hAnsi="Arial" w:cs="Arial"/>
          <w:sz w:val="24"/>
          <w:szCs w:val="24"/>
        </w:rPr>
        <w:t>Colombia ocupa el puesto número 14 en términos de población privada de la libertad, con 119.896 personas en sus cárceles a 2018, población que en Latinoamérica solamente es superada por Brasil (719.998).</w:t>
      </w:r>
    </w:p>
    <w:p w14:paraId="67E759A6" w14:textId="38EAF4C9" w:rsidR="00191D6F" w:rsidRPr="001E451B" w:rsidRDefault="00191D6F" w:rsidP="00191D6F">
      <w:pPr>
        <w:pStyle w:val="Prrafodelista"/>
        <w:numPr>
          <w:ilvl w:val="1"/>
          <w:numId w:val="11"/>
        </w:numPr>
        <w:spacing w:after="0" w:line="240" w:lineRule="auto"/>
        <w:jc w:val="both"/>
        <w:rPr>
          <w:rFonts w:ascii="Arial" w:hAnsi="Arial" w:cs="Arial"/>
          <w:sz w:val="24"/>
          <w:szCs w:val="24"/>
        </w:rPr>
      </w:pPr>
      <w:r w:rsidRPr="00F05A4B">
        <w:rPr>
          <w:rFonts w:ascii="Arial" w:hAnsi="Arial" w:cs="Arial"/>
          <w:sz w:val="24"/>
          <w:szCs w:val="24"/>
        </w:rPr>
        <w:t>Ha habido un crecimiento acelerado de dicha población, creciendo un 133% desde el año 2000, superando el crecimiento porcentual de la población en Colombia para el mismo periodo 5.3 veces según las cifras del DANE.</w:t>
      </w:r>
      <w:r w:rsidRPr="00F05A4B">
        <w:rPr>
          <w:rStyle w:val="Refdenotaalpie"/>
          <w:rFonts w:ascii="Arial" w:hAnsi="Arial" w:cs="Arial"/>
          <w:sz w:val="24"/>
          <w:szCs w:val="24"/>
        </w:rPr>
        <w:footnoteReference w:id="39"/>
      </w:r>
    </w:p>
    <w:p w14:paraId="5C7D106D" w14:textId="77A4E0E8" w:rsidR="00191D6F" w:rsidRPr="001E451B" w:rsidRDefault="00191D6F" w:rsidP="001E451B">
      <w:pPr>
        <w:pStyle w:val="Prrafodelista"/>
        <w:numPr>
          <w:ilvl w:val="0"/>
          <w:numId w:val="11"/>
        </w:numPr>
        <w:spacing w:after="0" w:line="240" w:lineRule="auto"/>
        <w:jc w:val="both"/>
        <w:rPr>
          <w:rFonts w:ascii="Arial" w:hAnsi="Arial" w:cs="Arial"/>
          <w:sz w:val="24"/>
          <w:szCs w:val="24"/>
        </w:rPr>
      </w:pPr>
      <w:r w:rsidRPr="00F05A4B">
        <w:rPr>
          <w:rFonts w:ascii="Arial" w:hAnsi="Arial" w:cs="Arial"/>
          <w:sz w:val="24"/>
          <w:szCs w:val="24"/>
        </w:rPr>
        <w:t xml:space="preserve">Colombia ocupa el puesto 48 en términos de países con mayores tasas de encarcelamiento, con 241 por cada 100.000 habitantes privados de la libertad. </w:t>
      </w:r>
    </w:p>
    <w:p w14:paraId="308D3100" w14:textId="73C719AD" w:rsidR="00191D6F" w:rsidRPr="001E451B" w:rsidRDefault="00191D6F" w:rsidP="001E451B">
      <w:pPr>
        <w:pStyle w:val="Prrafodelista"/>
        <w:numPr>
          <w:ilvl w:val="1"/>
          <w:numId w:val="11"/>
        </w:numPr>
        <w:spacing w:after="0" w:line="240" w:lineRule="auto"/>
        <w:jc w:val="both"/>
        <w:rPr>
          <w:rFonts w:ascii="Arial" w:hAnsi="Arial" w:cs="Arial"/>
          <w:sz w:val="24"/>
          <w:szCs w:val="24"/>
        </w:rPr>
      </w:pPr>
      <w:r w:rsidRPr="00F05A4B">
        <w:rPr>
          <w:rFonts w:ascii="Arial" w:hAnsi="Arial" w:cs="Arial"/>
          <w:sz w:val="24"/>
          <w:szCs w:val="24"/>
        </w:rPr>
        <w:t>Esta cifra está muy por encima del promedio mundial reportado por el Centro Internacional de Estudios sobre Prisiones para 2018, que fue de 145 por cada 100.000 habitantes.</w:t>
      </w:r>
    </w:p>
    <w:p w14:paraId="42E82E56" w14:textId="4D55E01C" w:rsidR="00191D6F" w:rsidRPr="001E451B" w:rsidRDefault="00191D6F" w:rsidP="001E451B">
      <w:pPr>
        <w:pStyle w:val="Prrafodelista"/>
        <w:numPr>
          <w:ilvl w:val="1"/>
          <w:numId w:val="11"/>
        </w:numPr>
        <w:spacing w:after="0" w:line="240" w:lineRule="auto"/>
        <w:jc w:val="both"/>
        <w:rPr>
          <w:rFonts w:ascii="Arial" w:hAnsi="Arial" w:cs="Arial"/>
          <w:sz w:val="24"/>
          <w:szCs w:val="24"/>
        </w:rPr>
      </w:pPr>
      <w:r w:rsidRPr="00F05A4B">
        <w:rPr>
          <w:rFonts w:ascii="Arial" w:hAnsi="Arial" w:cs="Arial"/>
          <w:sz w:val="24"/>
          <w:szCs w:val="24"/>
        </w:rPr>
        <w:t>También, resulta preocupante el crecimiento de esta cifra que aumentó en un 17% desde el año 2000 (128 por cada 100.000 habitantes).</w:t>
      </w:r>
    </w:p>
    <w:p w14:paraId="0A91549B" w14:textId="79CC061D" w:rsidR="00191D6F" w:rsidRPr="001E451B" w:rsidRDefault="00191D6F" w:rsidP="001E451B">
      <w:pPr>
        <w:pStyle w:val="Prrafodelista"/>
        <w:numPr>
          <w:ilvl w:val="0"/>
          <w:numId w:val="11"/>
        </w:numPr>
        <w:spacing w:after="0" w:line="240" w:lineRule="auto"/>
        <w:jc w:val="both"/>
        <w:rPr>
          <w:rFonts w:ascii="Arial" w:hAnsi="Arial" w:cs="Arial"/>
          <w:sz w:val="24"/>
          <w:szCs w:val="24"/>
        </w:rPr>
      </w:pPr>
      <w:r w:rsidRPr="00F05A4B">
        <w:rPr>
          <w:rFonts w:ascii="Arial" w:hAnsi="Arial" w:cs="Arial"/>
          <w:sz w:val="24"/>
          <w:szCs w:val="24"/>
        </w:rPr>
        <w:t>Colombia ocupa el puesto 51 en términos de países con mayor tasa de encarcelamiento femenino. Las mujeres representan el 6.9% de la población privada de la libertad en Colombia.</w:t>
      </w:r>
    </w:p>
    <w:p w14:paraId="0F206239" w14:textId="7D5FB5BB" w:rsidR="00191D6F" w:rsidRPr="001E451B" w:rsidRDefault="00191D6F" w:rsidP="001E451B">
      <w:pPr>
        <w:pStyle w:val="Prrafodelista"/>
        <w:numPr>
          <w:ilvl w:val="1"/>
          <w:numId w:val="11"/>
        </w:numPr>
        <w:spacing w:after="0" w:line="240" w:lineRule="auto"/>
        <w:jc w:val="both"/>
        <w:rPr>
          <w:rFonts w:ascii="Arial" w:hAnsi="Arial" w:cs="Arial"/>
          <w:sz w:val="24"/>
          <w:szCs w:val="24"/>
        </w:rPr>
      </w:pPr>
      <w:r w:rsidRPr="00F05A4B">
        <w:rPr>
          <w:rFonts w:ascii="Arial" w:hAnsi="Arial" w:cs="Arial"/>
          <w:sz w:val="24"/>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6864CE84" w14:textId="77777777" w:rsidR="00191D6F" w:rsidRPr="00F05A4B" w:rsidRDefault="00191D6F" w:rsidP="00191D6F">
      <w:pPr>
        <w:pStyle w:val="Prrafodelista"/>
        <w:numPr>
          <w:ilvl w:val="0"/>
          <w:numId w:val="11"/>
        </w:numPr>
        <w:spacing w:after="0" w:line="240" w:lineRule="auto"/>
        <w:jc w:val="both"/>
        <w:rPr>
          <w:rFonts w:ascii="Arial" w:hAnsi="Arial" w:cs="Arial"/>
          <w:sz w:val="24"/>
          <w:szCs w:val="24"/>
        </w:rPr>
      </w:pPr>
      <w:r w:rsidRPr="00F05A4B">
        <w:rPr>
          <w:rFonts w:ascii="Arial" w:hAnsi="Arial" w:cs="Arial"/>
          <w:sz w:val="24"/>
          <w:szCs w:val="24"/>
        </w:rPr>
        <w:t>Colombia ocupa el puesto 53 en términos de países con mayor hacinamiento carcelario, 149.4%.</w:t>
      </w:r>
    </w:p>
    <w:p w14:paraId="7E53856D" w14:textId="77777777" w:rsidR="00191D6F" w:rsidRPr="00F05A4B" w:rsidRDefault="00191D6F" w:rsidP="00191D6F">
      <w:pPr>
        <w:pStyle w:val="Prrafodelista"/>
        <w:spacing w:after="0" w:line="240" w:lineRule="auto"/>
        <w:jc w:val="both"/>
        <w:rPr>
          <w:rFonts w:ascii="Arial" w:hAnsi="Arial" w:cs="Arial"/>
          <w:sz w:val="24"/>
          <w:szCs w:val="24"/>
        </w:rPr>
      </w:pPr>
    </w:p>
    <w:p w14:paraId="6532A0E1"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F05A4B">
        <w:rPr>
          <w:rFonts w:ascii="Arial" w:hAnsi="Arial" w:cs="Arial"/>
          <w:i/>
          <w:iCs/>
          <w:sz w:val="24"/>
          <w:szCs w:val="24"/>
        </w:rPr>
        <w:t>727.091 (el 29,3 %) han sido por presunto porte, tráfico o fabricación de drogas</w:t>
      </w:r>
      <w:r w:rsidRPr="00F05A4B">
        <w:rPr>
          <w:rFonts w:ascii="Arial" w:hAnsi="Arial" w:cs="Arial"/>
          <w:sz w:val="24"/>
          <w:szCs w:val="24"/>
        </w:rPr>
        <w:t>” (Dejusticia, 2017, pp. 30). Para el 2014, 1 de cada 3 capturas de la policía estuvo relacionada con drogas, capturas que son principalmente de jóvenes y menores de edad.</w:t>
      </w:r>
      <w:r w:rsidRPr="00F05A4B">
        <w:rPr>
          <w:rStyle w:val="Refdenotaalpie"/>
          <w:rFonts w:ascii="Arial" w:hAnsi="Arial" w:cs="Arial"/>
          <w:sz w:val="24"/>
          <w:szCs w:val="24"/>
        </w:rPr>
        <w:footnoteReference w:id="40"/>
      </w:r>
    </w:p>
    <w:p w14:paraId="6252C25C" w14:textId="77777777" w:rsidR="00191D6F" w:rsidRPr="00F05A4B" w:rsidRDefault="00191D6F" w:rsidP="00191D6F">
      <w:pPr>
        <w:jc w:val="both"/>
        <w:rPr>
          <w:rFonts w:ascii="Arial" w:hAnsi="Arial" w:cs="Arial"/>
          <w:sz w:val="24"/>
          <w:szCs w:val="24"/>
        </w:rPr>
      </w:pPr>
    </w:p>
    <w:p w14:paraId="1BF72F79"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F05A4B">
        <w:rPr>
          <w:rStyle w:val="Refdenotaalpie"/>
          <w:rFonts w:ascii="Arial" w:hAnsi="Arial" w:cs="Arial"/>
          <w:sz w:val="24"/>
          <w:szCs w:val="24"/>
        </w:rPr>
        <w:footnoteReference w:id="41"/>
      </w:r>
    </w:p>
    <w:p w14:paraId="74E4E595" w14:textId="77777777" w:rsidR="00191D6F" w:rsidRPr="00F05A4B" w:rsidRDefault="00191D6F" w:rsidP="00191D6F">
      <w:pPr>
        <w:jc w:val="both"/>
        <w:rPr>
          <w:rFonts w:ascii="Arial" w:hAnsi="Arial" w:cs="Arial"/>
          <w:sz w:val="24"/>
          <w:szCs w:val="24"/>
        </w:rPr>
      </w:pPr>
    </w:p>
    <w:p w14:paraId="0C4880EA"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El 52% de las personas capturadas por delitos de tráfico, porte o fabricación de estupefacientes, son menores de 25 años.</w:t>
      </w:r>
      <w:r w:rsidRPr="00F05A4B">
        <w:rPr>
          <w:rStyle w:val="Refdenotaalpie"/>
          <w:rFonts w:ascii="Arial" w:hAnsi="Arial" w:cs="Arial"/>
          <w:sz w:val="24"/>
          <w:szCs w:val="24"/>
        </w:rPr>
        <w:footnoteReference w:id="42"/>
      </w:r>
      <w:r w:rsidRPr="00F05A4B">
        <w:rPr>
          <w:rFonts w:ascii="Arial" w:hAnsi="Arial" w:cs="Arial"/>
          <w:sz w:val="24"/>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F05A4B">
        <w:rPr>
          <w:rStyle w:val="Refdenotaalpie"/>
          <w:rFonts w:ascii="Arial" w:hAnsi="Arial" w:cs="Arial"/>
          <w:sz w:val="24"/>
          <w:szCs w:val="24"/>
        </w:rPr>
        <w:footnoteReference w:id="43"/>
      </w:r>
      <w:r w:rsidRPr="00F05A4B">
        <w:rPr>
          <w:rFonts w:ascii="Arial" w:hAnsi="Arial" w:cs="Arial"/>
          <w:sz w:val="24"/>
          <w:szCs w:val="24"/>
        </w:rPr>
        <w:t>, porcentaje que solamente es superado por los casos de hurto, que representan el 39%.</w:t>
      </w:r>
    </w:p>
    <w:p w14:paraId="5486472E" w14:textId="77777777" w:rsidR="00191D6F" w:rsidRPr="00F05A4B" w:rsidRDefault="00191D6F" w:rsidP="00191D6F">
      <w:pPr>
        <w:jc w:val="both"/>
        <w:rPr>
          <w:rFonts w:ascii="Arial" w:hAnsi="Arial" w:cs="Arial"/>
          <w:sz w:val="24"/>
          <w:szCs w:val="24"/>
        </w:rPr>
      </w:pPr>
    </w:p>
    <w:p w14:paraId="3E659610"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F05A4B">
        <w:rPr>
          <w:rStyle w:val="Refdenotaalpie"/>
          <w:rFonts w:ascii="Arial" w:hAnsi="Arial" w:cs="Arial"/>
          <w:sz w:val="24"/>
          <w:szCs w:val="24"/>
        </w:rPr>
        <w:footnoteReference w:id="44"/>
      </w:r>
      <w:r w:rsidRPr="00F05A4B">
        <w:rPr>
          <w:rFonts w:ascii="Arial" w:hAnsi="Arial" w:cs="Arial"/>
          <w:sz w:val="24"/>
          <w:szCs w:val="24"/>
        </w:rPr>
        <w:t>, en donde el 19.4% de las personas condenadas se encontraban desempleadas o se ocupaban en la economía informal, y solamente 4.41% se dedicaba a un oficio profesional.</w:t>
      </w:r>
    </w:p>
    <w:p w14:paraId="5A3AC24C" w14:textId="77777777" w:rsidR="00191D6F" w:rsidRPr="00F05A4B" w:rsidRDefault="00191D6F" w:rsidP="00191D6F">
      <w:pPr>
        <w:jc w:val="both"/>
        <w:rPr>
          <w:rFonts w:ascii="Arial" w:hAnsi="Arial" w:cs="Arial"/>
          <w:sz w:val="24"/>
          <w:szCs w:val="24"/>
        </w:rPr>
      </w:pPr>
    </w:p>
    <w:p w14:paraId="1B3CB953"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F05A4B">
        <w:rPr>
          <w:rStyle w:val="Refdenotaalpie"/>
          <w:rFonts w:ascii="Arial" w:hAnsi="Arial" w:cs="Arial"/>
          <w:sz w:val="24"/>
          <w:szCs w:val="24"/>
        </w:rPr>
        <w:footnoteReference w:id="45"/>
      </w:r>
    </w:p>
    <w:p w14:paraId="039E6538" w14:textId="77777777" w:rsidR="00191D6F" w:rsidRPr="00F05A4B" w:rsidRDefault="00191D6F" w:rsidP="00191D6F">
      <w:pPr>
        <w:jc w:val="both"/>
        <w:rPr>
          <w:rFonts w:ascii="Arial" w:hAnsi="Arial" w:cs="Arial"/>
          <w:sz w:val="24"/>
          <w:szCs w:val="24"/>
        </w:rPr>
      </w:pPr>
    </w:p>
    <w:p w14:paraId="6E9DD46E" w14:textId="77777777" w:rsidR="00191D6F" w:rsidRPr="00F05A4B" w:rsidRDefault="00191D6F" w:rsidP="00191D6F">
      <w:pPr>
        <w:jc w:val="both"/>
        <w:rPr>
          <w:rFonts w:ascii="Arial" w:hAnsi="Arial" w:cs="Arial"/>
          <w:sz w:val="24"/>
          <w:szCs w:val="24"/>
        </w:rPr>
      </w:pPr>
      <w:r w:rsidRPr="00F05A4B">
        <w:rPr>
          <w:rFonts w:ascii="Arial" w:hAnsi="Arial" w:cs="Arial"/>
          <w:sz w:val="24"/>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4CB4590B" w14:textId="77777777" w:rsidR="00191D6F" w:rsidRPr="001E451B" w:rsidRDefault="00191D6F" w:rsidP="001E451B">
      <w:pPr>
        <w:jc w:val="both"/>
        <w:rPr>
          <w:rFonts w:ascii="Arial" w:hAnsi="Arial" w:cs="Arial"/>
          <w:sz w:val="24"/>
          <w:szCs w:val="24"/>
        </w:rPr>
      </w:pPr>
    </w:p>
    <w:p w14:paraId="3A4B3096" w14:textId="282FFA3D" w:rsidR="00EE0197" w:rsidRPr="00191D6F" w:rsidRDefault="00191D6F" w:rsidP="00F55092">
      <w:pPr>
        <w:jc w:val="both"/>
        <w:rPr>
          <w:rFonts w:ascii="Arial" w:hAnsi="Arial" w:cs="Arial"/>
          <w:sz w:val="24"/>
          <w:szCs w:val="24"/>
        </w:rPr>
      </w:pPr>
      <w:r w:rsidRPr="00F05A4B">
        <w:rPr>
          <w:rFonts w:ascii="Arial" w:hAnsi="Arial" w:cs="Arial"/>
          <w:sz w:val="24"/>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F05A4B">
        <w:rPr>
          <w:rFonts w:ascii="Arial" w:hAnsi="Arial" w:cs="Arial"/>
          <w:i/>
          <w:iCs/>
          <w:sz w:val="24"/>
          <w:szCs w:val="24"/>
        </w:rPr>
        <w:t>daños graves en los sectores de la sociedad, la educación y la economía</w:t>
      </w:r>
      <w:r w:rsidRPr="00F05A4B">
        <w:rPr>
          <w:rFonts w:ascii="Arial" w:hAnsi="Arial" w:cs="Arial"/>
          <w:sz w:val="24"/>
          <w:szCs w:val="24"/>
        </w:rPr>
        <w:t>”.</w:t>
      </w:r>
      <w:r w:rsidRPr="00F05A4B">
        <w:rPr>
          <w:rStyle w:val="Refdenotaalpie"/>
          <w:rFonts w:ascii="Arial" w:hAnsi="Arial" w:cs="Arial"/>
          <w:sz w:val="24"/>
          <w:szCs w:val="24"/>
        </w:rPr>
        <w:footnoteReference w:id="46"/>
      </w:r>
      <w:r w:rsidRPr="00F05A4B">
        <w:rPr>
          <w:rFonts w:ascii="Arial" w:hAnsi="Arial" w:cs="Arial"/>
          <w:sz w:val="24"/>
          <w:szCs w:val="24"/>
        </w:rPr>
        <w:t xml:space="preserve"> Además, señala que “</w:t>
      </w:r>
      <w:r w:rsidRPr="00F05A4B">
        <w:rPr>
          <w:rFonts w:ascii="Arial" w:hAnsi="Arial" w:cs="Arial"/>
          <w:i/>
          <w:iCs/>
          <w:sz w:val="24"/>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F05A4B">
        <w:rPr>
          <w:rFonts w:ascii="Arial" w:hAnsi="Arial" w:cs="Arial"/>
          <w:sz w:val="24"/>
          <w:szCs w:val="24"/>
        </w:rPr>
        <w:t>”.</w:t>
      </w:r>
      <w:r w:rsidRPr="00F05A4B">
        <w:rPr>
          <w:rStyle w:val="Refdenotaalpie"/>
          <w:rFonts w:ascii="Arial" w:hAnsi="Arial" w:cs="Arial"/>
          <w:sz w:val="24"/>
          <w:szCs w:val="24"/>
        </w:rPr>
        <w:footnoteReference w:id="47"/>
      </w:r>
    </w:p>
    <w:p w14:paraId="4FA07BFA" w14:textId="77777777" w:rsidR="00F36280" w:rsidRPr="00F05A4B" w:rsidRDefault="00F36280" w:rsidP="00F55092">
      <w:pPr>
        <w:jc w:val="both"/>
        <w:rPr>
          <w:rFonts w:ascii="Arial" w:eastAsia="Calibri" w:hAnsi="Arial" w:cs="Arial"/>
          <w:sz w:val="24"/>
          <w:szCs w:val="24"/>
          <w:lang w:val="es-ES_tradnl"/>
        </w:rPr>
      </w:pPr>
    </w:p>
    <w:p w14:paraId="38846EEC" w14:textId="7492F831" w:rsidR="00F36280" w:rsidRPr="002A6AF2" w:rsidRDefault="00F36280" w:rsidP="00F55092">
      <w:pPr>
        <w:pStyle w:val="Prrafodelista"/>
        <w:numPr>
          <w:ilvl w:val="0"/>
          <w:numId w:val="35"/>
        </w:numPr>
        <w:jc w:val="both"/>
        <w:rPr>
          <w:rFonts w:ascii="Arial" w:eastAsia="Calibri" w:hAnsi="Arial" w:cs="Arial"/>
          <w:b/>
          <w:sz w:val="24"/>
          <w:szCs w:val="24"/>
          <w:lang w:val="es-ES_tradnl"/>
        </w:rPr>
      </w:pPr>
      <w:r w:rsidRPr="00191D6F">
        <w:rPr>
          <w:rFonts w:ascii="Arial" w:eastAsia="Calibri" w:hAnsi="Arial" w:cs="Arial"/>
          <w:b/>
          <w:sz w:val="24"/>
          <w:szCs w:val="24"/>
          <w:lang w:val="es-ES_tradnl"/>
        </w:rPr>
        <w:t xml:space="preserve"> REGULARIZACIÓN EXCLUSIVA DEL CANNABIS.</w:t>
      </w:r>
    </w:p>
    <w:p w14:paraId="374A8EFB" w14:textId="43FD5597" w:rsidR="001B4F33" w:rsidRPr="00F05A4B" w:rsidRDefault="001B4F33" w:rsidP="00F55092">
      <w:pPr>
        <w:jc w:val="both"/>
        <w:rPr>
          <w:rFonts w:ascii="Arial" w:eastAsia="Calibri" w:hAnsi="Arial" w:cs="Arial"/>
          <w:sz w:val="24"/>
          <w:szCs w:val="24"/>
        </w:rPr>
      </w:pPr>
      <w:r w:rsidRPr="00F05A4B">
        <w:rPr>
          <w:rFonts w:ascii="Arial" w:eastAsia="Calibri" w:hAnsi="Arial" w:cs="Arial"/>
          <w:sz w:val="24"/>
          <w:szCs w:val="24"/>
          <w:lang w:val="es-ES_tradnl"/>
        </w:rPr>
        <w:t xml:space="preserve">Las sustancias estupefacientes y psicotrópicas, en general, tienen un potencial de adicción, entendido como la capacidad de desarrollar </w:t>
      </w:r>
      <w:r w:rsidRPr="00F05A4B">
        <w:rPr>
          <w:rFonts w:ascii="Arial" w:eastAsia="Calibri" w:hAnsi="Arial" w:cs="Arial"/>
          <w:sz w:val="24"/>
          <w:szCs w:val="24"/>
        </w:rPr>
        <w:t>hábitos de consumo ligadas a una dependencia psicológica o fisiológica</w:t>
      </w:r>
      <w:r w:rsidR="00DE152D" w:rsidRPr="00F05A4B">
        <w:rPr>
          <w:rFonts w:ascii="Arial" w:eastAsia="Calibri" w:hAnsi="Arial" w:cs="Arial"/>
          <w:sz w:val="24"/>
          <w:szCs w:val="24"/>
        </w:rPr>
        <w:t>. También pueden generar</w:t>
      </w:r>
      <w:r w:rsidRPr="00F05A4B">
        <w:rPr>
          <w:rFonts w:ascii="Arial" w:eastAsia="Calibri" w:hAnsi="Arial" w:cs="Arial"/>
          <w:sz w:val="24"/>
          <w:szCs w:val="24"/>
        </w:rPr>
        <w:t xml:space="preserve"> un síndrome de abstinencia, entendido como las alteraciones físicas y psíquicas que aparecen en una persona cuando deja bruscamente de tomar una sustancia a la cual está habituada o es adicta. </w:t>
      </w:r>
    </w:p>
    <w:p w14:paraId="425C11E5" w14:textId="77777777" w:rsidR="001B4F33" w:rsidRPr="00F05A4B" w:rsidRDefault="001B4F33" w:rsidP="00F55092">
      <w:pPr>
        <w:jc w:val="both"/>
        <w:rPr>
          <w:rFonts w:ascii="Arial" w:eastAsia="Calibri" w:hAnsi="Arial" w:cs="Arial"/>
          <w:sz w:val="24"/>
          <w:szCs w:val="24"/>
        </w:rPr>
      </w:pPr>
    </w:p>
    <w:p w14:paraId="61274872" w14:textId="2CB23747" w:rsidR="001B4F33" w:rsidRPr="00F05A4B" w:rsidRDefault="001B4F33" w:rsidP="00F55092">
      <w:pPr>
        <w:jc w:val="both"/>
        <w:rPr>
          <w:rFonts w:ascii="Arial" w:eastAsia="Calibri" w:hAnsi="Arial" w:cs="Arial"/>
          <w:sz w:val="24"/>
          <w:szCs w:val="24"/>
        </w:rPr>
      </w:pPr>
      <w:r w:rsidRPr="00F05A4B">
        <w:rPr>
          <w:rFonts w:ascii="Arial" w:eastAsia="Calibri" w:hAnsi="Arial" w:cs="Arial"/>
          <w:sz w:val="24"/>
          <w:szCs w:val="24"/>
        </w:rPr>
        <w:t xml:space="preserve">De acuerdo al estudio realizado por el profesor de </w:t>
      </w:r>
      <w:r w:rsidR="00DE152D" w:rsidRPr="00F05A4B">
        <w:rPr>
          <w:rFonts w:ascii="Arial" w:eastAsia="Calibri" w:hAnsi="Arial" w:cs="Arial"/>
          <w:sz w:val="24"/>
          <w:szCs w:val="24"/>
        </w:rPr>
        <w:t>p</w:t>
      </w:r>
      <w:r w:rsidRPr="00F05A4B">
        <w:rPr>
          <w:rFonts w:ascii="Arial" w:eastAsia="Calibri" w:hAnsi="Arial" w:cs="Arial"/>
          <w:sz w:val="24"/>
          <w:szCs w:val="24"/>
        </w:rPr>
        <w:t xml:space="preserve">sicofarmacología </w:t>
      </w:r>
      <w:r w:rsidR="00DE152D" w:rsidRPr="00F05A4B">
        <w:rPr>
          <w:rFonts w:ascii="Arial" w:eastAsia="Calibri" w:hAnsi="Arial" w:cs="Arial"/>
          <w:sz w:val="24"/>
          <w:szCs w:val="24"/>
        </w:rPr>
        <w:t xml:space="preserve">de </w:t>
      </w:r>
      <w:r w:rsidRPr="00F05A4B">
        <w:rPr>
          <w:rFonts w:ascii="Arial" w:eastAsia="Calibri" w:hAnsi="Arial" w:cs="Arial"/>
          <w:sz w:val="24"/>
          <w:szCs w:val="24"/>
        </w:rPr>
        <w:t>la Universidad de Bristol, David Nutt, sustancias prohibidas y no prohibidas como la heroína (peligrosa por su alta mortalidad)</w:t>
      </w:r>
      <w:r w:rsidRPr="00F05A4B">
        <w:rPr>
          <w:rStyle w:val="Refdenotaalpie"/>
          <w:rFonts w:ascii="Arial" w:eastAsia="Calibri" w:hAnsi="Arial" w:cs="Arial"/>
          <w:sz w:val="24"/>
          <w:szCs w:val="24"/>
        </w:rPr>
        <w:footnoteReference w:id="48"/>
      </w:r>
      <w:r w:rsidRPr="00F05A4B">
        <w:rPr>
          <w:rFonts w:ascii="Arial" w:eastAsia="Calibri" w:hAnsi="Arial" w:cs="Arial"/>
          <w:sz w:val="24"/>
          <w:szCs w:val="24"/>
        </w:rPr>
        <w:t>, la cocaína (que cuando decanta en muerte por sobredosis muestra edema cerebral y pulmonar)</w:t>
      </w:r>
      <w:r w:rsidRPr="00F05A4B">
        <w:rPr>
          <w:rStyle w:val="Refdenotaalpie"/>
          <w:rFonts w:ascii="Arial" w:eastAsia="Calibri" w:hAnsi="Arial" w:cs="Arial"/>
          <w:sz w:val="24"/>
          <w:szCs w:val="24"/>
        </w:rPr>
        <w:footnoteReference w:id="49"/>
      </w:r>
      <w:r w:rsidRPr="00F05A4B">
        <w:rPr>
          <w:rFonts w:ascii="Arial" w:eastAsia="Calibri" w:hAnsi="Arial" w:cs="Arial"/>
          <w:sz w:val="24"/>
          <w:szCs w:val="24"/>
        </w:rPr>
        <w:t>, la metanfetamina, el crack o el alcohol (el cual es uno de los causantes de la cirrosis) son las que más</w:t>
      </w:r>
      <w:r w:rsidR="00C776F4" w:rsidRPr="00F05A4B">
        <w:rPr>
          <w:rFonts w:ascii="Arial" w:eastAsia="Calibri" w:hAnsi="Arial" w:cs="Arial"/>
          <w:sz w:val="24"/>
          <w:szCs w:val="24"/>
        </w:rPr>
        <w:t xml:space="preserve"> afectaciones a la salud del</w:t>
      </w:r>
      <w:r w:rsidRPr="00F05A4B">
        <w:rPr>
          <w:rFonts w:ascii="Arial" w:eastAsia="Calibri" w:hAnsi="Arial" w:cs="Arial"/>
          <w:sz w:val="24"/>
          <w:szCs w:val="24"/>
        </w:rPr>
        <w:t xml:space="preserve"> consumidor pueden generar.</w:t>
      </w:r>
      <w:r w:rsidRPr="00F05A4B">
        <w:rPr>
          <w:rStyle w:val="Refdenotaalpie"/>
          <w:rFonts w:ascii="Arial" w:eastAsia="Calibri" w:hAnsi="Arial" w:cs="Arial"/>
          <w:sz w:val="24"/>
          <w:szCs w:val="24"/>
        </w:rPr>
        <w:footnoteReference w:id="50"/>
      </w:r>
    </w:p>
    <w:p w14:paraId="3B13177A" w14:textId="77777777" w:rsidR="001B4F33" w:rsidRPr="00F05A4B" w:rsidRDefault="001B4F33" w:rsidP="00F55092">
      <w:pPr>
        <w:jc w:val="both"/>
        <w:rPr>
          <w:rFonts w:ascii="Arial" w:eastAsia="Calibri" w:hAnsi="Arial" w:cs="Arial"/>
          <w:sz w:val="24"/>
          <w:szCs w:val="24"/>
        </w:rPr>
      </w:pPr>
    </w:p>
    <w:p w14:paraId="667889E5" w14:textId="648CD15A" w:rsidR="001B4F33" w:rsidRPr="00F05A4B" w:rsidRDefault="001B4F33" w:rsidP="00F55092">
      <w:pPr>
        <w:jc w:val="both"/>
        <w:rPr>
          <w:rFonts w:ascii="Arial" w:eastAsia="Calibri" w:hAnsi="Arial" w:cs="Arial"/>
          <w:sz w:val="24"/>
          <w:szCs w:val="24"/>
        </w:rPr>
      </w:pPr>
      <w:r w:rsidRPr="00F05A4B">
        <w:rPr>
          <w:rFonts w:ascii="Arial" w:eastAsia="Calibri" w:hAnsi="Arial" w:cs="Arial"/>
          <w:sz w:val="24"/>
          <w:szCs w:val="24"/>
        </w:rPr>
        <w:t>El alcohol</w:t>
      </w:r>
      <w:r w:rsidR="00C776F4" w:rsidRPr="00F05A4B">
        <w:rPr>
          <w:rFonts w:ascii="Arial" w:eastAsia="Calibri" w:hAnsi="Arial" w:cs="Arial"/>
          <w:sz w:val="24"/>
          <w:szCs w:val="24"/>
        </w:rPr>
        <w:t>,</w:t>
      </w:r>
      <w:r w:rsidRPr="00F05A4B">
        <w:rPr>
          <w:rFonts w:ascii="Arial" w:eastAsia="Calibri" w:hAnsi="Arial" w:cs="Arial"/>
          <w:sz w:val="24"/>
          <w:szCs w:val="24"/>
        </w:rPr>
        <w:t xml:space="preserve"> como primer ejemplo, genera tolerancia, acostumbramiento y dependencia. </w:t>
      </w:r>
      <w:r w:rsidR="00C776F4" w:rsidRPr="00F05A4B">
        <w:rPr>
          <w:rFonts w:ascii="Arial" w:eastAsia="Calibri" w:hAnsi="Arial" w:cs="Arial"/>
          <w:sz w:val="24"/>
          <w:szCs w:val="24"/>
        </w:rPr>
        <w:t>El abuso de dicha sustancia</w:t>
      </w:r>
      <w:r w:rsidRPr="00F05A4B">
        <w:rPr>
          <w:rFonts w:ascii="Arial" w:eastAsia="Calibri" w:hAnsi="Arial" w:cs="Arial"/>
          <w:sz w:val="24"/>
          <w:szCs w:val="24"/>
        </w:rPr>
        <w:t xml:space="preserve"> presenta como consecuencia efectos negativos acentuados que tienen tendencia a decantar en una embriaguez patológica</w:t>
      </w:r>
      <w:r w:rsidRPr="00F05A4B">
        <w:rPr>
          <w:rStyle w:val="Refdenotaalpie"/>
          <w:rFonts w:ascii="Arial" w:eastAsia="Calibri" w:hAnsi="Arial" w:cs="Arial"/>
          <w:sz w:val="24"/>
          <w:szCs w:val="24"/>
        </w:rPr>
        <w:footnoteReference w:id="51"/>
      </w:r>
      <w:r w:rsidR="00C776F4" w:rsidRPr="00F05A4B">
        <w:rPr>
          <w:rFonts w:ascii="Arial" w:eastAsia="Calibri" w:hAnsi="Arial" w:cs="Arial"/>
          <w:sz w:val="24"/>
          <w:szCs w:val="24"/>
        </w:rPr>
        <w:t>.</w:t>
      </w:r>
      <w:r w:rsidRPr="00F05A4B">
        <w:rPr>
          <w:rFonts w:ascii="Arial" w:eastAsia="Calibri" w:hAnsi="Arial" w:cs="Arial"/>
          <w:sz w:val="24"/>
          <w:szCs w:val="24"/>
        </w:rPr>
        <w:t xml:space="preserve"> Para 2014 se estimaba que en Colombia ocho millones trescientas treinta y nueve mil seiscientas cincuenta y nueve (8´339.659) personas entre los 12 y los 65 años consumían alcohol regularmente, de las cuales cerca de los dos millones seiscientos</w:t>
      </w:r>
      <w:r w:rsidR="00C776F4" w:rsidRPr="00F05A4B">
        <w:rPr>
          <w:rFonts w:ascii="Arial" w:eastAsia="Calibri" w:hAnsi="Arial" w:cs="Arial"/>
          <w:sz w:val="24"/>
          <w:szCs w:val="24"/>
        </w:rPr>
        <w:t xml:space="preserve"> (2´600.000)</w:t>
      </w:r>
      <w:r w:rsidRPr="00F05A4B">
        <w:rPr>
          <w:rFonts w:ascii="Arial" w:eastAsia="Calibri" w:hAnsi="Arial" w:cs="Arial"/>
          <w:sz w:val="24"/>
          <w:szCs w:val="24"/>
        </w:rPr>
        <w:t xml:space="preserve"> presentaban un uso riesgoso o perjudicial.</w:t>
      </w:r>
      <w:r w:rsidRPr="00F05A4B">
        <w:rPr>
          <w:rStyle w:val="Refdenotaalpie"/>
          <w:rFonts w:ascii="Arial" w:eastAsia="Calibri" w:hAnsi="Arial" w:cs="Arial"/>
          <w:sz w:val="24"/>
          <w:szCs w:val="24"/>
        </w:rPr>
        <w:footnoteReference w:id="52"/>
      </w:r>
    </w:p>
    <w:p w14:paraId="394F0995" w14:textId="77777777" w:rsidR="001B4F33" w:rsidRPr="00F05A4B" w:rsidRDefault="001B4F33" w:rsidP="00F55092">
      <w:pPr>
        <w:jc w:val="both"/>
        <w:rPr>
          <w:rFonts w:ascii="Arial" w:eastAsia="Calibri" w:hAnsi="Arial" w:cs="Arial"/>
          <w:sz w:val="24"/>
          <w:szCs w:val="24"/>
        </w:rPr>
      </w:pPr>
    </w:p>
    <w:p w14:paraId="282F687B" w14:textId="342CD5EC" w:rsidR="001B4F33" w:rsidRPr="00F05A4B" w:rsidRDefault="001B4F33" w:rsidP="00F55092">
      <w:pPr>
        <w:jc w:val="both"/>
        <w:rPr>
          <w:rFonts w:ascii="Arial" w:eastAsia="Calibri" w:hAnsi="Arial" w:cs="Arial"/>
          <w:sz w:val="24"/>
          <w:szCs w:val="24"/>
        </w:rPr>
      </w:pPr>
      <w:r w:rsidRPr="00F05A4B">
        <w:rPr>
          <w:rFonts w:ascii="Arial" w:eastAsia="Calibri" w:hAnsi="Arial" w:cs="Arial"/>
          <w:sz w:val="24"/>
          <w:szCs w:val="24"/>
        </w:rPr>
        <w:t>La nicotina</w:t>
      </w:r>
      <w:r w:rsidR="00C776F4" w:rsidRPr="00F05A4B">
        <w:rPr>
          <w:rFonts w:ascii="Arial" w:eastAsia="Calibri" w:hAnsi="Arial" w:cs="Arial"/>
          <w:sz w:val="24"/>
          <w:szCs w:val="24"/>
        </w:rPr>
        <w:t>,</w:t>
      </w:r>
      <w:r w:rsidRPr="00F05A4B">
        <w:rPr>
          <w:rFonts w:ascii="Arial" w:eastAsia="Calibri" w:hAnsi="Arial" w:cs="Arial"/>
          <w:sz w:val="24"/>
          <w:szCs w:val="24"/>
        </w:rPr>
        <w:t xml:space="preserve"> por su parte, es una sustancia que genera dependencia, tolerancia y síndrome de abstinencia ante su interrupción. Mientras que los Opiáceos presentan facilidad para inducir farmacodependencia, lo que obliga a</w:t>
      </w:r>
      <w:r w:rsidR="00C776F4" w:rsidRPr="00F05A4B">
        <w:rPr>
          <w:rFonts w:ascii="Arial" w:eastAsia="Calibri" w:hAnsi="Arial" w:cs="Arial"/>
          <w:sz w:val="24"/>
          <w:szCs w:val="24"/>
        </w:rPr>
        <w:t xml:space="preserve"> que</w:t>
      </w:r>
      <w:r w:rsidRPr="00F05A4B">
        <w:rPr>
          <w:rFonts w:ascii="Arial" w:eastAsia="Calibri" w:hAnsi="Arial" w:cs="Arial"/>
          <w:sz w:val="24"/>
          <w:szCs w:val="24"/>
        </w:rPr>
        <w:t xml:space="preserve"> los médicos que los recetan, sean extremadamente cuidadosos, y no generosos en su prescripción.</w:t>
      </w:r>
      <w:r w:rsidRPr="00F05A4B">
        <w:rPr>
          <w:rStyle w:val="Refdenotaalpie"/>
          <w:rFonts w:ascii="Arial" w:eastAsia="Calibri" w:hAnsi="Arial" w:cs="Arial"/>
          <w:sz w:val="24"/>
          <w:szCs w:val="24"/>
        </w:rPr>
        <w:footnoteReference w:id="53"/>
      </w:r>
    </w:p>
    <w:p w14:paraId="3DC7F7DF" w14:textId="77777777" w:rsidR="001B4F33" w:rsidRPr="00F05A4B" w:rsidRDefault="001B4F33" w:rsidP="00F55092">
      <w:pPr>
        <w:jc w:val="both"/>
        <w:rPr>
          <w:rFonts w:ascii="Arial" w:eastAsia="Calibri" w:hAnsi="Arial" w:cs="Arial"/>
          <w:sz w:val="24"/>
          <w:szCs w:val="24"/>
        </w:rPr>
      </w:pPr>
    </w:p>
    <w:p w14:paraId="3B7D00E6" w14:textId="62123952" w:rsidR="001B4F33" w:rsidRPr="00F05A4B" w:rsidRDefault="001B4F33" w:rsidP="00F55092">
      <w:pPr>
        <w:jc w:val="both"/>
        <w:rPr>
          <w:rFonts w:ascii="Arial" w:eastAsia="Calibri" w:hAnsi="Arial" w:cs="Arial"/>
          <w:sz w:val="24"/>
          <w:szCs w:val="24"/>
          <w:lang w:val="es-ES_tradnl"/>
        </w:rPr>
      </w:pPr>
      <w:r w:rsidRPr="00F05A4B">
        <w:rPr>
          <w:rFonts w:ascii="Arial" w:eastAsia="Calibri" w:hAnsi="Arial" w:cs="Arial"/>
          <w:sz w:val="24"/>
          <w:szCs w:val="24"/>
        </w:rPr>
        <w:t>En lo que respecta al</w:t>
      </w:r>
      <w:r w:rsidRPr="00F05A4B">
        <w:rPr>
          <w:rFonts w:ascii="Arial" w:eastAsia="Calibri" w:hAnsi="Arial" w:cs="Arial"/>
          <w:sz w:val="24"/>
          <w:szCs w:val="24"/>
          <w:lang w:val="es-ES_tradnl"/>
        </w:rPr>
        <w:t xml:space="preserve"> Cannabis, varios autores como Roberto Solórzano Niño o Cesar Augusto Giraldo</w:t>
      </w:r>
      <w:r w:rsidR="00C776F4" w:rsidRPr="00F05A4B">
        <w:rPr>
          <w:rFonts w:ascii="Arial" w:eastAsia="Calibri" w:hAnsi="Arial" w:cs="Arial"/>
          <w:sz w:val="24"/>
          <w:szCs w:val="24"/>
          <w:lang w:val="es-ES_tradnl"/>
        </w:rPr>
        <w:t>,</w:t>
      </w:r>
      <w:r w:rsidRPr="00F05A4B">
        <w:rPr>
          <w:rFonts w:ascii="Arial" w:eastAsia="Calibri" w:hAnsi="Arial" w:cs="Arial"/>
          <w:sz w:val="24"/>
          <w:szCs w:val="24"/>
          <w:lang w:val="es-ES_tradnl"/>
        </w:rPr>
        <w:t xml:space="preserve"> han afirmado que su uso no </w:t>
      </w:r>
      <w:r w:rsidR="00C776F4" w:rsidRPr="00F05A4B">
        <w:rPr>
          <w:rFonts w:ascii="Arial" w:eastAsia="Calibri" w:hAnsi="Arial" w:cs="Arial"/>
          <w:sz w:val="24"/>
          <w:szCs w:val="24"/>
          <w:lang w:val="es-ES_tradnl"/>
        </w:rPr>
        <w:t>con</w:t>
      </w:r>
      <w:r w:rsidRPr="00F05A4B">
        <w:rPr>
          <w:rFonts w:ascii="Arial" w:eastAsia="Calibri" w:hAnsi="Arial" w:cs="Arial"/>
          <w:sz w:val="24"/>
          <w:szCs w:val="24"/>
          <w:lang w:val="es-ES_tradnl"/>
        </w:rPr>
        <w:t>lleva síndrome de abstinencia</w:t>
      </w:r>
      <w:r w:rsidRPr="00F05A4B">
        <w:rPr>
          <w:rStyle w:val="Refdenotaalpie"/>
          <w:rFonts w:ascii="Arial" w:eastAsia="Calibri" w:hAnsi="Arial" w:cs="Arial"/>
          <w:sz w:val="24"/>
          <w:szCs w:val="24"/>
          <w:lang w:val="es-ES_tradnl"/>
        </w:rPr>
        <w:footnoteReference w:id="54"/>
      </w:r>
      <w:r w:rsidRPr="00F05A4B">
        <w:rPr>
          <w:rFonts w:ascii="Arial" w:eastAsia="Calibri" w:hAnsi="Arial" w:cs="Arial"/>
          <w:sz w:val="24"/>
          <w:szCs w:val="24"/>
          <w:lang w:val="es-ES_tradnl"/>
        </w:rPr>
        <w:t>, no suele inducir tolerancia,</w:t>
      </w:r>
      <w:r w:rsidRPr="00F05A4B">
        <w:rPr>
          <w:rStyle w:val="Refdenotaalpie"/>
          <w:rFonts w:ascii="Arial" w:eastAsia="Calibri" w:hAnsi="Arial" w:cs="Arial"/>
          <w:sz w:val="24"/>
          <w:szCs w:val="24"/>
          <w:lang w:val="es-ES_tradnl"/>
        </w:rPr>
        <w:footnoteReference w:id="55"/>
      </w:r>
      <w:r w:rsidRPr="00F05A4B">
        <w:rPr>
          <w:rFonts w:ascii="Arial" w:eastAsia="Calibri" w:hAnsi="Arial" w:cs="Arial"/>
          <w:sz w:val="24"/>
          <w:szCs w:val="24"/>
          <w:lang w:val="es-ES_tradnl"/>
        </w:rPr>
        <w:t xml:space="preserve"> </w:t>
      </w:r>
      <w:r w:rsidR="00C776F4" w:rsidRPr="00F05A4B">
        <w:rPr>
          <w:rFonts w:ascii="Arial" w:eastAsia="Calibri" w:hAnsi="Arial" w:cs="Arial"/>
          <w:sz w:val="24"/>
          <w:szCs w:val="24"/>
          <w:lang w:val="es-ES_tradnl"/>
        </w:rPr>
        <w:t>no decanta</w:t>
      </w:r>
      <w:r w:rsidRPr="00F05A4B">
        <w:rPr>
          <w:rFonts w:ascii="Arial" w:eastAsia="Calibri" w:hAnsi="Arial" w:cs="Arial"/>
          <w:sz w:val="24"/>
          <w:szCs w:val="24"/>
          <w:lang w:val="es-ES_tradnl"/>
        </w:rPr>
        <w:t xml:space="preserve"> en muerte por sobredosis </w:t>
      </w:r>
      <w:r w:rsidR="00C776F4" w:rsidRPr="00F05A4B">
        <w:rPr>
          <w:rFonts w:ascii="Arial" w:eastAsia="Calibri" w:hAnsi="Arial" w:cs="Arial"/>
          <w:sz w:val="24"/>
          <w:szCs w:val="24"/>
          <w:lang w:val="es-ES_tradnl"/>
        </w:rPr>
        <w:t>y no es</w:t>
      </w:r>
      <w:r w:rsidRPr="00F05A4B">
        <w:rPr>
          <w:rFonts w:ascii="Arial" w:eastAsia="Calibri" w:hAnsi="Arial" w:cs="Arial"/>
          <w:sz w:val="24"/>
          <w:szCs w:val="24"/>
          <w:lang w:val="es-ES_tradnl"/>
        </w:rPr>
        <w:t xml:space="preserve"> un factor de enfermedades degenerativas</w:t>
      </w:r>
      <w:r w:rsidR="00C776F4" w:rsidRPr="00F05A4B">
        <w:rPr>
          <w:rFonts w:ascii="Arial" w:eastAsia="Calibri" w:hAnsi="Arial" w:cs="Arial"/>
          <w:sz w:val="24"/>
          <w:szCs w:val="24"/>
          <w:lang w:val="es-ES_tradnl"/>
        </w:rPr>
        <w:t>, e</w:t>
      </w:r>
      <w:r w:rsidRPr="00F05A4B">
        <w:rPr>
          <w:rFonts w:ascii="Arial" w:eastAsia="Calibri" w:hAnsi="Arial" w:cs="Arial"/>
          <w:sz w:val="24"/>
          <w:szCs w:val="24"/>
          <w:lang w:val="es-ES_tradnl"/>
        </w:rPr>
        <w:t>n contra posición con los ejemplos tanto lícitos como ilícitos ya citados. Lo anterior aunado a sus aplicaciones en temas de salud y calidad de vida (cuidados paliativos) que hoy son una realidad.</w:t>
      </w:r>
    </w:p>
    <w:p w14:paraId="45985E0E" w14:textId="77777777" w:rsidR="001B4F33" w:rsidRPr="00F05A4B" w:rsidRDefault="001B4F33" w:rsidP="00F55092">
      <w:pPr>
        <w:jc w:val="both"/>
        <w:rPr>
          <w:rFonts w:ascii="Arial" w:eastAsia="Calibri" w:hAnsi="Arial" w:cs="Arial"/>
          <w:sz w:val="24"/>
          <w:szCs w:val="24"/>
          <w:lang w:val="es-ES_tradnl"/>
        </w:rPr>
      </w:pPr>
    </w:p>
    <w:p w14:paraId="07262A1B" w14:textId="515C1F42" w:rsidR="00C776F4" w:rsidRPr="00F05A4B" w:rsidRDefault="00C776F4"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En el mismo sentido, Dejusticia trae a colación las cifras reportadas por la DEA que demuestran la cantidad de muertes directas por el consumo de drogas en Estados Unidos.</w:t>
      </w:r>
      <w:r w:rsidRPr="00F05A4B">
        <w:rPr>
          <w:rStyle w:val="Refdenotaalpie"/>
          <w:rFonts w:ascii="Arial" w:eastAsia="Calibri" w:hAnsi="Arial" w:cs="Arial"/>
          <w:sz w:val="24"/>
          <w:szCs w:val="24"/>
          <w:lang w:val="es-ES_tradnl"/>
        </w:rPr>
        <w:footnoteReference w:id="56"/>
      </w:r>
      <w:r w:rsidR="000E548B" w:rsidRPr="00F05A4B">
        <w:rPr>
          <w:rFonts w:ascii="Arial" w:eastAsia="Calibri" w:hAnsi="Arial" w:cs="Arial"/>
          <w:sz w:val="24"/>
          <w:szCs w:val="24"/>
          <w:lang w:val="es-ES_tradnl"/>
        </w:rPr>
        <w:t xml:space="preserve"> Como principales conclusiones se tiene que: 1)</w:t>
      </w:r>
      <w:r w:rsidRPr="00F05A4B">
        <w:rPr>
          <w:rFonts w:ascii="Arial" w:eastAsia="Calibri" w:hAnsi="Arial" w:cs="Arial"/>
          <w:sz w:val="24"/>
          <w:szCs w:val="24"/>
          <w:lang w:val="es-ES_tradnl"/>
        </w:rPr>
        <w:t xml:space="preserve"> la droga más mortal, es el tabaco.</w:t>
      </w:r>
      <w:r w:rsidR="000E548B" w:rsidRPr="00F05A4B">
        <w:rPr>
          <w:rFonts w:ascii="Arial" w:eastAsia="Calibri" w:hAnsi="Arial" w:cs="Arial"/>
          <w:sz w:val="24"/>
          <w:szCs w:val="24"/>
          <w:lang w:val="es-ES_tradnl"/>
        </w:rPr>
        <w:t xml:space="preserve"> Y 2) n</w:t>
      </w:r>
      <w:r w:rsidRPr="00F05A4B">
        <w:rPr>
          <w:rFonts w:ascii="Arial" w:eastAsia="Calibri" w:hAnsi="Arial" w:cs="Arial"/>
          <w:sz w:val="24"/>
          <w:szCs w:val="24"/>
          <w:lang w:val="es-ES_tradnl"/>
        </w:rPr>
        <w:t>o se reporta ninguna muerte por el consumo de cannabis.</w:t>
      </w:r>
    </w:p>
    <w:p w14:paraId="0E1B2CB3" w14:textId="77777777" w:rsidR="00C776F4" w:rsidRPr="00F05A4B" w:rsidRDefault="00C776F4" w:rsidP="00F55092">
      <w:pPr>
        <w:jc w:val="both"/>
        <w:rPr>
          <w:rFonts w:ascii="Arial" w:eastAsia="Calibri" w:hAnsi="Arial" w:cs="Arial"/>
          <w:sz w:val="24"/>
          <w:szCs w:val="24"/>
          <w:lang w:val="es-ES_tradnl"/>
        </w:rPr>
      </w:pPr>
    </w:p>
    <w:p w14:paraId="015D2B83" w14:textId="681B6268" w:rsidR="001B4F33" w:rsidRPr="00F05A4B" w:rsidRDefault="001B4F33"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Se evidencia entonces que</w:t>
      </w:r>
      <w:r w:rsidR="00275768" w:rsidRPr="00F05A4B">
        <w:rPr>
          <w:rFonts w:ascii="Arial" w:eastAsia="Calibri" w:hAnsi="Arial" w:cs="Arial"/>
          <w:sz w:val="24"/>
          <w:szCs w:val="24"/>
          <w:lang w:val="es-ES_tradnl"/>
        </w:rPr>
        <w:t>,</w:t>
      </w:r>
      <w:r w:rsidRPr="00F05A4B">
        <w:rPr>
          <w:rFonts w:ascii="Arial" w:eastAsia="Calibri" w:hAnsi="Arial" w:cs="Arial"/>
          <w:sz w:val="24"/>
          <w:szCs w:val="24"/>
          <w:lang w:val="es-ES_tradnl"/>
        </w:rPr>
        <w:t xml:space="preserve"> los efectos del cannabis no son más nocivos que los efectos del alcohol o del cigarrillo. Por el contrario, el cannabis genera un daño mínimo al consumidor y hacia otros, de acuerdo a las</w:t>
      </w:r>
      <w:r w:rsidRPr="00F05A4B">
        <w:rPr>
          <w:rFonts w:ascii="Arial" w:eastAsia="Calibri" w:hAnsi="Arial" w:cs="Arial"/>
          <w:i/>
          <w:sz w:val="24"/>
          <w:szCs w:val="24"/>
          <w:lang w:val="es-ES_tradnl"/>
        </w:rPr>
        <w:t xml:space="preserve"> </w:t>
      </w:r>
      <w:r w:rsidRPr="00F05A4B">
        <w:rPr>
          <w:rFonts w:ascii="Arial" w:eastAsia="Calibri" w:hAnsi="Arial" w:cs="Arial"/>
          <w:sz w:val="24"/>
          <w:szCs w:val="24"/>
          <w:lang w:val="es-ES_tradnl"/>
        </w:rPr>
        <w:t xml:space="preserve">gráficas 1 y 2 relacionadas en </w:t>
      </w:r>
      <w:r w:rsidR="00C776F4" w:rsidRPr="00F05A4B">
        <w:rPr>
          <w:rFonts w:ascii="Arial" w:eastAsia="Calibri" w:hAnsi="Arial" w:cs="Arial"/>
          <w:sz w:val="24"/>
          <w:szCs w:val="24"/>
          <w:lang w:val="es-ES_tradnl"/>
        </w:rPr>
        <w:t>el título 4.2.1.</w:t>
      </w:r>
    </w:p>
    <w:p w14:paraId="6E5AEDB2" w14:textId="77777777" w:rsidR="001B4F33" w:rsidRPr="00F05A4B" w:rsidRDefault="001B4F33" w:rsidP="00F55092">
      <w:pPr>
        <w:jc w:val="both"/>
        <w:rPr>
          <w:rFonts w:ascii="Arial" w:eastAsia="Calibri" w:hAnsi="Arial" w:cs="Arial"/>
          <w:sz w:val="24"/>
          <w:szCs w:val="24"/>
          <w:lang w:val="es-ES_tradnl"/>
        </w:rPr>
      </w:pPr>
    </w:p>
    <w:p w14:paraId="315DACD8" w14:textId="2845FB27" w:rsidR="001B4F33" w:rsidRPr="00F05A4B" w:rsidRDefault="001B4F33" w:rsidP="00F55092">
      <w:pPr>
        <w:jc w:val="both"/>
        <w:rPr>
          <w:rFonts w:ascii="Arial" w:eastAsia="Calibri" w:hAnsi="Arial" w:cs="Arial"/>
          <w:bCs/>
          <w:i/>
          <w:iCs/>
          <w:sz w:val="24"/>
          <w:szCs w:val="24"/>
          <w:lang w:val="es-ES_tradnl"/>
        </w:rPr>
      </w:pPr>
      <w:r w:rsidRPr="00F05A4B">
        <w:rPr>
          <w:rFonts w:ascii="Arial" w:eastAsia="Calibri" w:hAnsi="Arial" w:cs="Arial"/>
          <w:sz w:val="24"/>
          <w:szCs w:val="24"/>
          <w:lang w:val="es-ES_tradnl"/>
        </w:rPr>
        <w:t>De acuerdo a lo expuesto</w:t>
      </w:r>
      <w:r w:rsidR="00C776F4" w:rsidRPr="00F05A4B">
        <w:rPr>
          <w:rFonts w:ascii="Arial" w:eastAsia="Calibri" w:hAnsi="Arial" w:cs="Arial"/>
          <w:sz w:val="24"/>
          <w:szCs w:val="24"/>
          <w:lang w:val="es-ES_tradnl"/>
        </w:rPr>
        <w:t>,</w:t>
      </w:r>
      <w:r w:rsidRPr="00F05A4B">
        <w:rPr>
          <w:rFonts w:ascii="Arial" w:eastAsia="Calibri" w:hAnsi="Arial" w:cs="Arial"/>
          <w:sz w:val="24"/>
          <w:szCs w:val="24"/>
          <w:lang w:val="es-ES_tradnl"/>
        </w:rPr>
        <w:t xml:space="preserve"> el presente Proyecto de Acto Legislativo </w:t>
      </w:r>
      <w:r w:rsidR="005F0268" w:rsidRPr="00F05A4B">
        <w:rPr>
          <w:rFonts w:ascii="Arial" w:eastAsia="Calibri" w:hAnsi="Arial" w:cs="Arial"/>
          <w:sz w:val="24"/>
          <w:szCs w:val="24"/>
          <w:lang w:val="es-ES_tradnl"/>
        </w:rPr>
        <w:t>busca exclusivamente</w:t>
      </w:r>
      <w:r w:rsidRPr="00F05A4B">
        <w:rPr>
          <w:rFonts w:ascii="Arial" w:eastAsia="Calibri" w:hAnsi="Arial" w:cs="Arial"/>
          <w:sz w:val="24"/>
          <w:szCs w:val="24"/>
          <w:lang w:val="es-ES_tradnl"/>
        </w:rPr>
        <w:t xml:space="preserve"> la regularización del uso recreativo del cannabis</w:t>
      </w:r>
      <w:r w:rsidR="00C776F4" w:rsidRPr="00F05A4B">
        <w:rPr>
          <w:rFonts w:ascii="Arial" w:eastAsia="Calibri" w:hAnsi="Arial" w:cs="Arial"/>
          <w:sz w:val="24"/>
          <w:szCs w:val="24"/>
          <w:lang w:val="es-ES_tradnl"/>
        </w:rPr>
        <w:t>, como sustancia que no genera afectaciones reales a la salud y que, en consecuencia, no debería estar limitada por vía constitucional</w:t>
      </w:r>
      <w:r w:rsidRPr="00F05A4B">
        <w:rPr>
          <w:rFonts w:ascii="Arial" w:eastAsia="Calibri" w:hAnsi="Arial" w:cs="Arial"/>
          <w:sz w:val="24"/>
          <w:szCs w:val="24"/>
          <w:lang w:val="es-ES_tradnl"/>
        </w:rPr>
        <w:t xml:space="preserve">. Sustancias como la cocaína, el </w:t>
      </w:r>
      <w:r w:rsidRPr="00F05A4B">
        <w:rPr>
          <w:rFonts w:ascii="Arial" w:eastAsia="Calibri" w:hAnsi="Arial" w:cs="Arial"/>
          <w:sz w:val="24"/>
          <w:szCs w:val="24"/>
        </w:rPr>
        <w:t>hachís, los derivados de la amapola y la droga sintética deben continuar bajo la normativa actual.</w:t>
      </w:r>
    </w:p>
    <w:p w14:paraId="71BC9E20" w14:textId="77777777" w:rsidR="001B4F33" w:rsidRPr="00F05A4B" w:rsidRDefault="001B4F33" w:rsidP="00F55092">
      <w:pPr>
        <w:jc w:val="both"/>
        <w:rPr>
          <w:rFonts w:ascii="Arial" w:eastAsia="Calibri" w:hAnsi="Arial" w:cs="Arial"/>
          <w:sz w:val="24"/>
          <w:szCs w:val="24"/>
          <w:lang w:val="es-ES_tradnl"/>
        </w:rPr>
      </w:pPr>
    </w:p>
    <w:p w14:paraId="6C0B32A6" w14:textId="7A7D912F" w:rsidR="001B4F33" w:rsidRPr="00F05A4B" w:rsidRDefault="00AF43B7"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Considerando,</w:t>
      </w:r>
      <w:r w:rsidR="001B4F33" w:rsidRPr="00F05A4B">
        <w:rPr>
          <w:rFonts w:ascii="Arial" w:eastAsia="Calibri" w:hAnsi="Arial" w:cs="Arial"/>
          <w:sz w:val="24"/>
          <w:szCs w:val="24"/>
          <w:lang w:val="es-ES_tradnl"/>
        </w:rPr>
        <w:t xml:space="preserve"> además</w:t>
      </w:r>
      <w:r w:rsidR="005F0268" w:rsidRPr="00F05A4B">
        <w:rPr>
          <w:rFonts w:ascii="Arial" w:eastAsia="Calibri" w:hAnsi="Arial" w:cs="Arial"/>
          <w:sz w:val="24"/>
          <w:szCs w:val="24"/>
          <w:lang w:val="es-ES_tradnl"/>
        </w:rPr>
        <w:t>,</w:t>
      </w:r>
      <w:r w:rsidR="001B4F33" w:rsidRPr="00F05A4B">
        <w:rPr>
          <w:rFonts w:ascii="Arial" w:eastAsia="Calibri" w:hAnsi="Arial" w:cs="Arial"/>
          <w:sz w:val="24"/>
          <w:szCs w:val="24"/>
          <w:lang w:val="es-ES_tradnl"/>
        </w:rPr>
        <w:t xml:space="preserve"> que: </w:t>
      </w:r>
    </w:p>
    <w:p w14:paraId="04A3026B" w14:textId="77777777" w:rsidR="001B4F33" w:rsidRPr="00F05A4B" w:rsidRDefault="001B4F33" w:rsidP="00F55092">
      <w:pPr>
        <w:jc w:val="both"/>
        <w:rPr>
          <w:rFonts w:ascii="Arial" w:eastAsia="Calibri" w:hAnsi="Arial" w:cs="Arial"/>
          <w:sz w:val="24"/>
          <w:szCs w:val="24"/>
          <w:lang w:val="es-ES_tradnl"/>
        </w:rPr>
      </w:pPr>
    </w:p>
    <w:p w14:paraId="489805A9" w14:textId="6496D68F" w:rsidR="005F0268" w:rsidRPr="001E451B" w:rsidRDefault="001B4F33" w:rsidP="001E451B">
      <w:pPr>
        <w:pStyle w:val="Prrafodelista"/>
        <w:numPr>
          <w:ilvl w:val="0"/>
          <w:numId w:val="34"/>
        </w:numPr>
        <w:spacing w:after="0" w:line="240" w:lineRule="auto"/>
        <w:jc w:val="both"/>
        <w:rPr>
          <w:rFonts w:ascii="Arial" w:eastAsia="Calibri" w:hAnsi="Arial" w:cs="Arial"/>
          <w:sz w:val="24"/>
          <w:szCs w:val="24"/>
          <w:lang w:val="es-ES_tradnl"/>
        </w:rPr>
      </w:pPr>
      <w:r w:rsidRPr="00F05A4B">
        <w:rPr>
          <w:rFonts w:ascii="Arial" w:eastAsia="Calibri" w:hAnsi="Arial" w:cs="Arial"/>
          <w:sz w:val="24"/>
          <w:szCs w:val="24"/>
          <w:lang w:val="es-ES_tradnl"/>
        </w:rPr>
        <w:t>Colombia cuenta con una legislación vigente que reglamenta de forma idónea y eficaz el cultivo, la transformación, la comercialización y exportación del cannabis de uso medicinal que bien podría extenderse al</w:t>
      </w:r>
      <w:r w:rsidR="005F0268" w:rsidRPr="00F05A4B">
        <w:rPr>
          <w:rFonts w:ascii="Arial" w:eastAsia="Calibri" w:hAnsi="Arial" w:cs="Arial"/>
          <w:sz w:val="24"/>
          <w:szCs w:val="24"/>
          <w:lang w:val="es-ES_tradnl"/>
        </w:rPr>
        <w:t xml:space="preserve"> recreativo sin inconvenientes;</w:t>
      </w:r>
    </w:p>
    <w:p w14:paraId="2713950B" w14:textId="03C7A895" w:rsidR="005F0268" w:rsidRPr="001E451B" w:rsidRDefault="001B4F33" w:rsidP="00F55092">
      <w:pPr>
        <w:pStyle w:val="Prrafodelista"/>
        <w:numPr>
          <w:ilvl w:val="0"/>
          <w:numId w:val="34"/>
        </w:numPr>
        <w:spacing w:after="0" w:line="240" w:lineRule="auto"/>
        <w:jc w:val="both"/>
        <w:rPr>
          <w:rFonts w:ascii="Arial" w:eastAsia="Calibri" w:hAnsi="Arial" w:cs="Arial"/>
          <w:sz w:val="24"/>
          <w:szCs w:val="24"/>
          <w:lang w:val="es-ES_tradnl"/>
        </w:rPr>
      </w:pPr>
      <w:r w:rsidRPr="00F05A4B">
        <w:rPr>
          <w:rFonts w:ascii="Arial" w:eastAsia="Calibri" w:hAnsi="Arial" w:cs="Arial"/>
          <w:sz w:val="24"/>
          <w:szCs w:val="24"/>
          <w:lang w:val="es-ES_tradnl"/>
        </w:rPr>
        <w:t>Existe una tendencia creciente en el ámbito internacional de reglamentar y permitir</w:t>
      </w:r>
      <w:r w:rsidR="005F0268" w:rsidRPr="00F05A4B">
        <w:rPr>
          <w:rFonts w:ascii="Arial" w:eastAsia="Calibri" w:hAnsi="Arial" w:cs="Arial"/>
          <w:sz w:val="24"/>
          <w:szCs w:val="24"/>
          <w:lang w:val="es-ES_tradnl"/>
        </w:rPr>
        <w:t xml:space="preserve"> el uso recreativo del cannabis;</w:t>
      </w:r>
    </w:p>
    <w:p w14:paraId="18CC9449" w14:textId="77777777" w:rsidR="001B4F33" w:rsidRPr="00F05A4B" w:rsidRDefault="001B4F33" w:rsidP="00F55092">
      <w:pPr>
        <w:pStyle w:val="Prrafodelista"/>
        <w:numPr>
          <w:ilvl w:val="0"/>
          <w:numId w:val="34"/>
        </w:numPr>
        <w:spacing w:after="0" w:line="240" w:lineRule="auto"/>
        <w:jc w:val="both"/>
        <w:rPr>
          <w:rFonts w:ascii="Arial" w:eastAsia="Calibri" w:hAnsi="Arial" w:cs="Arial"/>
          <w:sz w:val="24"/>
          <w:szCs w:val="24"/>
          <w:lang w:val="es-ES_tradnl"/>
        </w:rPr>
      </w:pPr>
      <w:r w:rsidRPr="00F05A4B">
        <w:rPr>
          <w:rFonts w:ascii="Arial" w:eastAsia="Calibri" w:hAnsi="Arial" w:cs="Arial"/>
          <w:sz w:val="24"/>
          <w:szCs w:val="24"/>
          <w:lang w:val="es-ES_tradnl"/>
        </w:rPr>
        <w:t>Se está consolidando un nuevo mercado a nivel mundial que está generando ganancias.</w:t>
      </w:r>
    </w:p>
    <w:p w14:paraId="019FBCD2" w14:textId="77777777" w:rsidR="00275768" w:rsidRPr="00F05A4B" w:rsidRDefault="00275768" w:rsidP="00F55092">
      <w:pPr>
        <w:jc w:val="both"/>
        <w:rPr>
          <w:rFonts w:ascii="Arial" w:eastAsia="Calibri" w:hAnsi="Arial" w:cs="Arial"/>
          <w:sz w:val="24"/>
          <w:szCs w:val="24"/>
          <w:lang w:val="es-ES_tradnl"/>
        </w:rPr>
      </w:pPr>
    </w:p>
    <w:p w14:paraId="58B40201" w14:textId="77777777" w:rsidR="00C776F4" w:rsidRPr="00F05A4B" w:rsidRDefault="00C776F4"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Se puede afirmar entonces que es viable y positivo regularizar el cannabis para su uso recreativo.</w:t>
      </w:r>
    </w:p>
    <w:p w14:paraId="65F322ED" w14:textId="77777777" w:rsidR="00C776F4" w:rsidRPr="00F05A4B" w:rsidRDefault="00C776F4" w:rsidP="00F55092">
      <w:pPr>
        <w:jc w:val="both"/>
        <w:rPr>
          <w:rFonts w:ascii="Arial" w:eastAsia="Calibri" w:hAnsi="Arial" w:cs="Arial"/>
          <w:sz w:val="24"/>
          <w:szCs w:val="24"/>
          <w:lang w:val="es-ES_tradnl"/>
        </w:rPr>
      </w:pPr>
    </w:p>
    <w:p w14:paraId="7B6164EB" w14:textId="6AAA078B" w:rsidR="001B4F33" w:rsidRPr="00F05A4B" w:rsidRDefault="001B4F33"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 xml:space="preserve">Sobre este asunto es pertinente traer a colación los estudios realizados por Dejusticia, que señalan que existen tres tipos de consumo recreativo, a saber: 1) cotidiano, 2) habitual y 3) problemático. Según las experiencias de Uruguay, Canadá y Estados Unidos, países en los que se reguló la producción y la comercialización de cannabis con fines recreativos, de los distintos tipos de consumo, solo el problemático requiere un tratamiento. </w:t>
      </w:r>
    </w:p>
    <w:p w14:paraId="6269989C" w14:textId="77777777" w:rsidR="001B4F33" w:rsidRPr="00F05A4B" w:rsidRDefault="001B4F33" w:rsidP="00F55092">
      <w:pPr>
        <w:jc w:val="both"/>
        <w:rPr>
          <w:rFonts w:ascii="Arial" w:eastAsia="Calibri" w:hAnsi="Arial" w:cs="Arial"/>
          <w:sz w:val="24"/>
          <w:szCs w:val="24"/>
          <w:lang w:val="es-ES_tradnl"/>
        </w:rPr>
      </w:pPr>
    </w:p>
    <w:p w14:paraId="081081A6" w14:textId="77777777" w:rsidR="001B4F33" w:rsidRPr="00F05A4B" w:rsidRDefault="001B4F33" w:rsidP="00F55092">
      <w:pPr>
        <w:jc w:val="both"/>
        <w:rPr>
          <w:rFonts w:ascii="Arial" w:eastAsia="Calibri" w:hAnsi="Arial" w:cs="Arial"/>
          <w:sz w:val="24"/>
          <w:szCs w:val="24"/>
          <w:lang w:val="es-ES_tradnl"/>
        </w:rPr>
      </w:pPr>
      <w:r w:rsidRPr="00F05A4B">
        <w:rPr>
          <w:rFonts w:ascii="Arial" w:eastAsia="Calibri" w:hAnsi="Arial" w:cs="Arial"/>
          <w:sz w:val="24"/>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0FAF616D" w14:textId="77777777" w:rsidR="001B4F33" w:rsidRPr="00F05A4B" w:rsidRDefault="001B4F33" w:rsidP="00F55092">
      <w:pPr>
        <w:jc w:val="both"/>
        <w:rPr>
          <w:rFonts w:ascii="Arial" w:eastAsia="Calibri" w:hAnsi="Arial" w:cs="Arial"/>
          <w:bCs/>
          <w:sz w:val="24"/>
          <w:szCs w:val="24"/>
          <w:lang w:val="es-ES_tradnl"/>
        </w:rPr>
      </w:pPr>
    </w:p>
    <w:p w14:paraId="1864C399" w14:textId="465B5BDF" w:rsidR="001A6F20" w:rsidRPr="00191D6F" w:rsidRDefault="001B4F33" w:rsidP="00F55092">
      <w:pPr>
        <w:jc w:val="both"/>
        <w:rPr>
          <w:rFonts w:ascii="Arial" w:eastAsia="Calibri" w:hAnsi="Arial" w:cs="Arial"/>
          <w:sz w:val="24"/>
          <w:szCs w:val="24"/>
          <w:lang w:val="es-ES_tradnl"/>
        </w:rPr>
      </w:pPr>
      <w:r w:rsidRPr="00F05A4B">
        <w:rPr>
          <w:rFonts w:ascii="Arial" w:eastAsia="Calibri" w:hAnsi="Arial" w:cs="Arial"/>
          <w:bCs/>
          <w:sz w:val="24"/>
          <w:szCs w:val="24"/>
          <w:lang w:val="es-ES_tradnl"/>
        </w:rPr>
        <w:t xml:space="preserve">Lo anterior no implica que no vayan a ser penalizadas las conductas delictivas cometidas por los consumidores de cannabis, </w:t>
      </w:r>
      <w:r w:rsidRPr="00F05A4B">
        <w:rPr>
          <w:rFonts w:ascii="Arial" w:eastAsia="Calibri" w:hAnsi="Arial" w:cs="Arial"/>
          <w:sz w:val="24"/>
          <w:szCs w:val="24"/>
          <w:lang w:val="es-ES_tradnl"/>
        </w:rPr>
        <w:t>como conducir bajo los efectos de la marihuana o del alcohol, se les penalizará por las conductas que realicen que atenten contra bienes jurídicos, y no por el hecho de ser consumidores.</w:t>
      </w:r>
    </w:p>
    <w:p w14:paraId="0513EA76" w14:textId="681656A1" w:rsidR="00F05A4B" w:rsidRDefault="00F05A4B" w:rsidP="00F55092">
      <w:pPr>
        <w:pStyle w:val="NormalWeb"/>
        <w:spacing w:before="0" w:beforeAutospacing="0" w:after="0" w:afterAutospacing="0"/>
        <w:ind w:right="115"/>
        <w:jc w:val="both"/>
        <w:rPr>
          <w:rFonts w:ascii="Arial" w:eastAsia="Calibri" w:hAnsi="Arial" w:cs="Arial"/>
          <w:lang w:val="es-ES_tradnl"/>
        </w:rPr>
      </w:pPr>
    </w:p>
    <w:p w14:paraId="2E34A1A2" w14:textId="5C863AB7" w:rsidR="00F05A4B" w:rsidRDefault="00F05A4B" w:rsidP="0019685D">
      <w:pPr>
        <w:pStyle w:val="NormalWeb"/>
        <w:numPr>
          <w:ilvl w:val="0"/>
          <w:numId w:val="35"/>
        </w:numPr>
        <w:spacing w:before="0" w:beforeAutospacing="0" w:after="0" w:afterAutospacing="0"/>
        <w:ind w:right="115"/>
        <w:jc w:val="both"/>
        <w:rPr>
          <w:rFonts w:ascii="Arial" w:eastAsia="Calibri" w:hAnsi="Arial" w:cs="Arial"/>
          <w:b/>
          <w:bCs/>
          <w:lang w:val="es-ES_tradnl"/>
        </w:rPr>
      </w:pPr>
      <w:r>
        <w:rPr>
          <w:rFonts w:ascii="Arial" w:eastAsia="Calibri" w:hAnsi="Arial" w:cs="Arial"/>
          <w:b/>
          <w:bCs/>
          <w:lang w:val="es-ES_tradnl"/>
        </w:rPr>
        <w:t xml:space="preserve">Proposición </w:t>
      </w:r>
    </w:p>
    <w:p w14:paraId="4243AE81" w14:textId="77777777" w:rsidR="0019685D" w:rsidRDefault="0019685D" w:rsidP="0019685D">
      <w:pPr>
        <w:pStyle w:val="NormalWeb"/>
        <w:spacing w:before="0" w:beforeAutospacing="0" w:after="0" w:afterAutospacing="0"/>
        <w:ind w:left="360" w:right="115"/>
        <w:jc w:val="both"/>
        <w:rPr>
          <w:rFonts w:ascii="Arial" w:eastAsia="Calibri" w:hAnsi="Arial" w:cs="Arial"/>
          <w:b/>
          <w:bCs/>
          <w:lang w:val="es-ES_tradnl"/>
        </w:rPr>
      </w:pPr>
    </w:p>
    <w:p w14:paraId="72C80B95" w14:textId="39DD970B" w:rsidR="0019685D" w:rsidRDefault="0019685D" w:rsidP="0019685D">
      <w:pPr>
        <w:jc w:val="both"/>
        <w:rPr>
          <w:rFonts w:ascii="Arial" w:hAnsi="Arial" w:cs="Arial"/>
          <w:i/>
          <w:iCs/>
          <w:sz w:val="24"/>
          <w:szCs w:val="24"/>
        </w:rPr>
      </w:pPr>
      <w:r w:rsidRPr="0019685D">
        <w:rPr>
          <w:rFonts w:ascii="Arial" w:hAnsi="Arial" w:cs="Arial"/>
          <w:sz w:val="24"/>
          <w:szCs w:val="24"/>
        </w:rPr>
        <w:t xml:space="preserve">Con fundamento en </w:t>
      </w:r>
      <w:r w:rsidR="00782CC0">
        <w:rPr>
          <w:rFonts w:ascii="Arial" w:hAnsi="Arial" w:cs="Arial"/>
          <w:sz w:val="24"/>
          <w:szCs w:val="24"/>
        </w:rPr>
        <w:t xml:space="preserve">las anteriores consideraciones y conforme a lo aprobado en primer debate, </w:t>
      </w:r>
      <w:r w:rsidRPr="0019685D">
        <w:rPr>
          <w:rFonts w:ascii="Arial" w:hAnsi="Arial" w:cs="Arial"/>
          <w:sz w:val="24"/>
          <w:szCs w:val="24"/>
        </w:rPr>
        <w:t xml:space="preserve">de manera respetuosa solicito a la </w:t>
      </w:r>
      <w:r w:rsidR="00376DE2">
        <w:rPr>
          <w:rFonts w:ascii="Arial" w:hAnsi="Arial" w:cs="Arial"/>
          <w:sz w:val="24"/>
          <w:szCs w:val="24"/>
        </w:rPr>
        <w:t xml:space="preserve">plenaria de la </w:t>
      </w:r>
      <w:r w:rsidRPr="0019685D">
        <w:rPr>
          <w:rFonts w:ascii="Arial" w:hAnsi="Arial" w:cs="Arial"/>
          <w:sz w:val="24"/>
          <w:szCs w:val="24"/>
        </w:rPr>
        <w:t xml:space="preserve">Cámara de Representantes, dar </w:t>
      </w:r>
      <w:r w:rsidR="00376DE2">
        <w:rPr>
          <w:rFonts w:ascii="Arial" w:hAnsi="Arial" w:cs="Arial"/>
          <w:sz w:val="24"/>
          <w:szCs w:val="24"/>
        </w:rPr>
        <w:t>segundo</w:t>
      </w:r>
      <w:r w:rsidRPr="0019685D">
        <w:rPr>
          <w:rFonts w:ascii="Arial" w:hAnsi="Arial" w:cs="Arial"/>
          <w:sz w:val="24"/>
          <w:szCs w:val="24"/>
        </w:rPr>
        <w:t xml:space="preserve"> debate y aprobar el </w:t>
      </w:r>
      <w:r w:rsidRPr="00F05A4B">
        <w:rPr>
          <w:rFonts w:ascii="Arial" w:hAnsi="Arial" w:cs="Arial"/>
          <w:sz w:val="24"/>
          <w:szCs w:val="24"/>
        </w:rPr>
        <w:t xml:space="preserve">Proyecto de </w:t>
      </w:r>
      <w:r w:rsidR="00191D6F">
        <w:rPr>
          <w:rFonts w:ascii="Arial" w:hAnsi="Arial" w:cs="Arial"/>
          <w:sz w:val="24"/>
          <w:szCs w:val="24"/>
        </w:rPr>
        <w:t>Acto Legislativo</w:t>
      </w:r>
      <w:r w:rsidRPr="00F05A4B">
        <w:rPr>
          <w:rFonts w:ascii="Arial" w:hAnsi="Arial" w:cs="Arial"/>
          <w:sz w:val="24"/>
          <w:szCs w:val="24"/>
        </w:rPr>
        <w:t xml:space="preserve"> N° </w:t>
      </w:r>
      <w:r w:rsidR="008747E2" w:rsidRPr="00F05A4B">
        <w:rPr>
          <w:rFonts w:ascii="Arial" w:hAnsi="Arial" w:cs="Arial"/>
          <w:sz w:val="24"/>
          <w:szCs w:val="24"/>
        </w:rPr>
        <w:t>172 de</w:t>
      </w:r>
      <w:r w:rsidRPr="00F05A4B">
        <w:rPr>
          <w:rFonts w:ascii="Arial" w:hAnsi="Arial" w:cs="Arial"/>
          <w:sz w:val="24"/>
          <w:szCs w:val="24"/>
        </w:rPr>
        <w:t xml:space="preserve"> 2019</w:t>
      </w:r>
      <w:r w:rsidRPr="0019685D">
        <w:rPr>
          <w:rFonts w:ascii="Arial" w:hAnsi="Arial" w:cs="Arial"/>
          <w:i/>
          <w:iCs/>
          <w:sz w:val="24"/>
          <w:szCs w:val="24"/>
        </w:rPr>
        <w:t>, “Por medio del cual se modifica el artículo 49 de la constitución política de colombia y se regulariza el uso recreativo del cannabis”.</w:t>
      </w:r>
    </w:p>
    <w:p w14:paraId="388BDD8B" w14:textId="6F17BA69" w:rsidR="0019685D" w:rsidRDefault="0019685D" w:rsidP="0019685D">
      <w:pPr>
        <w:jc w:val="both"/>
        <w:rPr>
          <w:rFonts w:ascii="Arial" w:hAnsi="Arial" w:cs="Arial"/>
          <w:i/>
          <w:iCs/>
          <w:sz w:val="24"/>
          <w:szCs w:val="24"/>
        </w:rPr>
      </w:pPr>
    </w:p>
    <w:p w14:paraId="347167E1" w14:textId="77777777" w:rsidR="001E451B" w:rsidRDefault="001E451B" w:rsidP="0019685D">
      <w:pPr>
        <w:ind w:left="993" w:hanging="1080"/>
        <w:rPr>
          <w:rFonts w:ascii="Arial" w:eastAsia="Calibri" w:hAnsi="Arial" w:cs="Arial"/>
          <w:color w:val="000000"/>
          <w:sz w:val="24"/>
          <w:szCs w:val="24"/>
          <w:highlight w:val="white"/>
        </w:rPr>
      </w:pPr>
    </w:p>
    <w:p w14:paraId="08BAE9A6" w14:textId="539FCC67" w:rsidR="0019685D" w:rsidRDefault="0019685D" w:rsidP="0019685D">
      <w:pPr>
        <w:ind w:left="993" w:hanging="1080"/>
        <w:rPr>
          <w:rFonts w:ascii="Arial" w:eastAsia="Calibri" w:hAnsi="Arial" w:cs="Arial"/>
          <w:color w:val="000000"/>
          <w:sz w:val="24"/>
          <w:szCs w:val="24"/>
        </w:rPr>
      </w:pPr>
      <w:r w:rsidRPr="00AF43B7">
        <w:rPr>
          <w:rFonts w:ascii="Arial" w:eastAsia="Calibri" w:hAnsi="Arial" w:cs="Arial"/>
          <w:color w:val="000000"/>
          <w:sz w:val="24"/>
          <w:szCs w:val="24"/>
          <w:highlight w:val="white"/>
        </w:rPr>
        <w:t xml:space="preserve">De los honorables congresistas, </w:t>
      </w:r>
    </w:p>
    <w:p w14:paraId="7C0DD59A" w14:textId="39C87094" w:rsidR="0019685D" w:rsidRDefault="0019685D" w:rsidP="0019685D">
      <w:pPr>
        <w:ind w:left="993" w:hanging="1080"/>
        <w:rPr>
          <w:rFonts w:ascii="Arial" w:eastAsia="Calibri" w:hAnsi="Arial" w:cs="Arial"/>
          <w:color w:val="000000"/>
          <w:sz w:val="24"/>
          <w:szCs w:val="24"/>
        </w:rPr>
      </w:pPr>
    </w:p>
    <w:p w14:paraId="5993AC84" w14:textId="67C44B77" w:rsidR="0019685D" w:rsidRDefault="0019685D" w:rsidP="0019685D">
      <w:pPr>
        <w:ind w:left="993" w:hanging="1080"/>
        <w:rPr>
          <w:rFonts w:ascii="Arial" w:eastAsia="Calibri" w:hAnsi="Arial" w:cs="Arial"/>
          <w:color w:val="000000"/>
          <w:sz w:val="24"/>
          <w:szCs w:val="24"/>
        </w:rPr>
      </w:pPr>
    </w:p>
    <w:p w14:paraId="708FF94E" w14:textId="77777777" w:rsidR="00EE1C73" w:rsidRPr="00AF43B7" w:rsidRDefault="00EE1C73" w:rsidP="0019685D">
      <w:pPr>
        <w:ind w:left="993" w:hanging="1080"/>
        <w:rPr>
          <w:rFonts w:ascii="Arial" w:eastAsia="Calibri" w:hAnsi="Arial" w:cs="Arial"/>
          <w:color w:val="000000"/>
          <w:sz w:val="24"/>
          <w:szCs w:val="24"/>
        </w:rPr>
      </w:pPr>
    </w:p>
    <w:p w14:paraId="05A229A6" w14:textId="77777777" w:rsidR="0019685D" w:rsidRPr="00AF43B7" w:rsidRDefault="0019685D" w:rsidP="0019685D">
      <w:pPr>
        <w:rPr>
          <w:rFonts w:ascii="Arial" w:hAnsi="Arial" w:cs="Arial"/>
          <w:b/>
          <w:sz w:val="24"/>
          <w:szCs w:val="24"/>
        </w:rPr>
      </w:pPr>
    </w:p>
    <w:p w14:paraId="39247C74" w14:textId="77777777" w:rsidR="0019685D" w:rsidRPr="00AF43B7" w:rsidRDefault="0019685D" w:rsidP="0019685D">
      <w:pPr>
        <w:rPr>
          <w:rFonts w:ascii="Arial" w:hAnsi="Arial" w:cs="Arial"/>
          <w:sz w:val="24"/>
          <w:szCs w:val="24"/>
        </w:rPr>
      </w:pPr>
    </w:p>
    <w:p w14:paraId="47C73BFE" w14:textId="34982DFD" w:rsidR="0019685D" w:rsidRDefault="0019685D" w:rsidP="0019685D">
      <w:pPr>
        <w:jc w:val="both"/>
        <w:rPr>
          <w:rFonts w:ascii="Arial" w:hAnsi="Arial" w:cs="Arial"/>
          <w:sz w:val="24"/>
          <w:szCs w:val="24"/>
        </w:rPr>
      </w:pPr>
      <w:r w:rsidRPr="0019685D">
        <w:rPr>
          <w:rFonts w:ascii="Arial" w:hAnsi="Arial" w:cs="Arial"/>
          <w:sz w:val="24"/>
          <w:szCs w:val="24"/>
        </w:rPr>
        <w:t>________________________</w:t>
      </w:r>
    </w:p>
    <w:p w14:paraId="41554E8C" w14:textId="77777777" w:rsidR="0019685D" w:rsidRPr="0019685D" w:rsidRDefault="0019685D" w:rsidP="0019685D">
      <w:pPr>
        <w:ind w:left="426"/>
        <w:jc w:val="both"/>
        <w:rPr>
          <w:rFonts w:ascii="Arial" w:hAnsi="Arial" w:cs="Arial"/>
          <w:sz w:val="24"/>
          <w:szCs w:val="24"/>
        </w:rPr>
      </w:pPr>
    </w:p>
    <w:p w14:paraId="00B33172" w14:textId="77777777" w:rsidR="0019685D" w:rsidRPr="0019685D" w:rsidRDefault="0019685D" w:rsidP="0019685D">
      <w:pPr>
        <w:jc w:val="both"/>
        <w:rPr>
          <w:rFonts w:ascii="Arial" w:hAnsi="Arial" w:cs="Arial"/>
          <w:b/>
          <w:bCs/>
          <w:sz w:val="24"/>
          <w:szCs w:val="24"/>
        </w:rPr>
      </w:pPr>
      <w:r w:rsidRPr="0019685D">
        <w:rPr>
          <w:rFonts w:ascii="Arial" w:hAnsi="Arial" w:cs="Arial"/>
          <w:b/>
          <w:bCs/>
          <w:sz w:val="24"/>
          <w:szCs w:val="24"/>
        </w:rPr>
        <w:t>JUAN FERNANDO REYES KURI</w:t>
      </w:r>
    </w:p>
    <w:p w14:paraId="757C9B0F" w14:textId="77777777" w:rsidR="0019685D" w:rsidRPr="0019685D" w:rsidRDefault="0019685D" w:rsidP="0019685D">
      <w:pPr>
        <w:jc w:val="both"/>
        <w:rPr>
          <w:rFonts w:ascii="Arial" w:hAnsi="Arial" w:cs="Arial"/>
          <w:sz w:val="24"/>
          <w:szCs w:val="24"/>
        </w:rPr>
      </w:pPr>
      <w:r w:rsidRPr="0019685D">
        <w:rPr>
          <w:rFonts w:ascii="Arial" w:hAnsi="Arial" w:cs="Arial"/>
          <w:sz w:val="24"/>
          <w:szCs w:val="24"/>
        </w:rPr>
        <w:t>Representante a la Cámara por el Valle del Cauca</w:t>
      </w:r>
    </w:p>
    <w:p w14:paraId="59E5FDE6" w14:textId="03E3DB30" w:rsidR="0019685D" w:rsidRDefault="0019685D" w:rsidP="008747E2">
      <w:pPr>
        <w:jc w:val="both"/>
        <w:rPr>
          <w:rFonts w:ascii="Arial" w:hAnsi="Arial" w:cs="Arial"/>
          <w:sz w:val="24"/>
          <w:szCs w:val="24"/>
        </w:rPr>
      </w:pPr>
      <w:r w:rsidRPr="0019685D">
        <w:rPr>
          <w:rFonts w:ascii="Arial" w:hAnsi="Arial" w:cs="Arial"/>
          <w:sz w:val="24"/>
          <w:szCs w:val="24"/>
        </w:rPr>
        <w:t>Partido Liberal</w:t>
      </w:r>
    </w:p>
    <w:p w14:paraId="575C7C01" w14:textId="0038E2E8" w:rsidR="008747E2" w:rsidRDefault="008747E2" w:rsidP="008747E2">
      <w:pPr>
        <w:jc w:val="both"/>
        <w:rPr>
          <w:rFonts w:ascii="Arial" w:hAnsi="Arial" w:cs="Arial"/>
          <w:sz w:val="24"/>
          <w:szCs w:val="24"/>
        </w:rPr>
      </w:pPr>
    </w:p>
    <w:p w14:paraId="21659FD8" w14:textId="36D76D84" w:rsidR="008747E2" w:rsidRDefault="008747E2" w:rsidP="008747E2">
      <w:pPr>
        <w:jc w:val="both"/>
        <w:rPr>
          <w:rFonts w:ascii="Arial" w:hAnsi="Arial" w:cs="Arial"/>
          <w:sz w:val="24"/>
          <w:szCs w:val="24"/>
        </w:rPr>
      </w:pPr>
    </w:p>
    <w:p w14:paraId="019134F4" w14:textId="475E2B12" w:rsidR="008747E2" w:rsidRDefault="008747E2" w:rsidP="008747E2">
      <w:pPr>
        <w:jc w:val="both"/>
        <w:rPr>
          <w:rFonts w:ascii="Arial" w:hAnsi="Arial" w:cs="Arial"/>
          <w:sz w:val="24"/>
          <w:szCs w:val="24"/>
        </w:rPr>
      </w:pPr>
    </w:p>
    <w:p w14:paraId="02A736EC" w14:textId="22A7DCDE" w:rsidR="008747E2" w:rsidRDefault="008747E2" w:rsidP="008747E2">
      <w:pPr>
        <w:jc w:val="both"/>
        <w:rPr>
          <w:rFonts w:ascii="Arial" w:hAnsi="Arial" w:cs="Arial"/>
          <w:sz w:val="24"/>
          <w:szCs w:val="24"/>
        </w:rPr>
      </w:pPr>
    </w:p>
    <w:p w14:paraId="1CD0F91B" w14:textId="07F9C393" w:rsidR="008747E2" w:rsidRDefault="008747E2" w:rsidP="008747E2">
      <w:pPr>
        <w:jc w:val="both"/>
        <w:rPr>
          <w:rFonts w:ascii="Arial" w:hAnsi="Arial" w:cs="Arial"/>
          <w:sz w:val="24"/>
          <w:szCs w:val="24"/>
        </w:rPr>
      </w:pPr>
    </w:p>
    <w:p w14:paraId="13D087B1" w14:textId="43EDBDA5" w:rsidR="008747E2" w:rsidRDefault="008747E2" w:rsidP="008747E2">
      <w:pPr>
        <w:jc w:val="both"/>
        <w:rPr>
          <w:rFonts w:ascii="Arial" w:hAnsi="Arial" w:cs="Arial"/>
          <w:sz w:val="24"/>
          <w:szCs w:val="24"/>
        </w:rPr>
      </w:pPr>
    </w:p>
    <w:p w14:paraId="1291299A" w14:textId="49E491B2" w:rsidR="00782CC0" w:rsidRDefault="00782CC0" w:rsidP="008747E2">
      <w:pPr>
        <w:jc w:val="both"/>
        <w:rPr>
          <w:rFonts w:ascii="Arial" w:hAnsi="Arial" w:cs="Arial"/>
          <w:sz w:val="24"/>
          <w:szCs w:val="24"/>
        </w:rPr>
      </w:pPr>
    </w:p>
    <w:p w14:paraId="60B63A65" w14:textId="739FAB96" w:rsidR="00946D14" w:rsidRDefault="00946D14" w:rsidP="008747E2">
      <w:pPr>
        <w:jc w:val="both"/>
        <w:rPr>
          <w:rFonts w:ascii="Arial" w:hAnsi="Arial" w:cs="Arial"/>
          <w:sz w:val="24"/>
          <w:szCs w:val="24"/>
        </w:rPr>
      </w:pPr>
    </w:p>
    <w:p w14:paraId="4F86804B" w14:textId="3A173B9A" w:rsidR="00946D14" w:rsidRDefault="00946D14" w:rsidP="008747E2">
      <w:pPr>
        <w:jc w:val="both"/>
        <w:rPr>
          <w:rFonts w:ascii="Arial" w:hAnsi="Arial" w:cs="Arial"/>
          <w:sz w:val="24"/>
          <w:szCs w:val="24"/>
        </w:rPr>
      </w:pPr>
    </w:p>
    <w:p w14:paraId="285662B5" w14:textId="7CACFAC2" w:rsidR="00946D14" w:rsidRDefault="00946D14" w:rsidP="008747E2">
      <w:pPr>
        <w:jc w:val="both"/>
        <w:rPr>
          <w:rFonts w:ascii="Arial" w:hAnsi="Arial" w:cs="Arial"/>
          <w:sz w:val="24"/>
          <w:szCs w:val="24"/>
        </w:rPr>
      </w:pPr>
    </w:p>
    <w:p w14:paraId="131CEFC5" w14:textId="77777777" w:rsidR="00946D14" w:rsidRPr="008747E2" w:rsidRDefault="00946D14" w:rsidP="008747E2">
      <w:pPr>
        <w:jc w:val="both"/>
        <w:rPr>
          <w:rFonts w:ascii="Arial" w:hAnsi="Arial" w:cs="Arial"/>
          <w:sz w:val="24"/>
          <w:szCs w:val="24"/>
        </w:rPr>
      </w:pPr>
    </w:p>
    <w:p w14:paraId="68771E7E" w14:textId="7401FEB0" w:rsidR="00F05A4B" w:rsidRDefault="00F05A4B" w:rsidP="00F55092">
      <w:pPr>
        <w:pStyle w:val="NormalWeb"/>
        <w:numPr>
          <w:ilvl w:val="0"/>
          <w:numId w:val="35"/>
        </w:numPr>
        <w:spacing w:before="0" w:beforeAutospacing="0" w:after="0" w:afterAutospacing="0"/>
        <w:ind w:right="115"/>
        <w:jc w:val="both"/>
        <w:rPr>
          <w:rFonts w:ascii="Arial" w:eastAsia="Calibri" w:hAnsi="Arial" w:cs="Arial"/>
          <w:b/>
          <w:bCs/>
          <w:lang w:val="es-ES_tradnl"/>
        </w:rPr>
      </w:pPr>
      <w:r w:rsidRPr="00F05A4B">
        <w:rPr>
          <w:rFonts w:ascii="Arial" w:eastAsia="Calibri" w:hAnsi="Arial" w:cs="Arial"/>
          <w:b/>
          <w:bCs/>
          <w:lang w:val="es-ES_tradnl"/>
        </w:rPr>
        <w:t xml:space="preserve">Texto </w:t>
      </w:r>
      <w:r w:rsidR="008747E2">
        <w:rPr>
          <w:rFonts w:ascii="Arial" w:eastAsia="Calibri" w:hAnsi="Arial" w:cs="Arial"/>
          <w:b/>
          <w:bCs/>
          <w:lang w:val="es-ES_tradnl"/>
        </w:rPr>
        <w:t>propuesto</w:t>
      </w:r>
      <w:r w:rsidR="00782CC0">
        <w:rPr>
          <w:rFonts w:ascii="Arial" w:eastAsia="Calibri" w:hAnsi="Arial" w:cs="Arial"/>
          <w:b/>
          <w:bCs/>
          <w:lang w:val="es-ES_tradnl"/>
        </w:rPr>
        <w:t>.</w:t>
      </w:r>
    </w:p>
    <w:p w14:paraId="20912A29" w14:textId="77777777" w:rsidR="00027BFB" w:rsidRDefault="00027BFB" w:rsidP="00027BFB">
      <w:pPr>
        <w:pStyle w:val="Prrafodelista"/>
        <w:ind w:left="360"/>
        <w:rPr>
          <w:rFonts w:ascii="Arial" w:hAnsi="Arial" w:cs="Arial"/>
          <w:b/>
          <w:bCs/>
          <w:sz w:val="24"/>
          <w:szCs w:val="24"/>
        </w:rPr>
      </w:pPr>
    </w:p>
    <w:p w14:paraId="0B9488FF" w14:textId="62AD955E" w:rsidR="00027BFB" w:rsidRPr="00F4275A" w:rsidRDefault="00027BFB" w:rsidP="00F4275A">
      <w:pPr>
        <w:pStyle w:val="Prrafodelista"/>
        <w:ind w:left="360"/>
        <w:jc w:val="center"/>
        <w:rPr>
          <w:rFonts w:ascii="Arial" w:hAnsi="Arial" w:cs="Arial"/>
          <w:b/>
          <w:bCs/>
          <w:sz w:val="24"/>
          <w:szCs w:val="24"/>
        </w:rPr>
      </w:pPr>
      <w:r>
        <w:rPr>
          <w:rFonts w:ascii="Arial" w:hAnsi="Arial" w:cs="Arial"/>
          <w:b/>
          <w:bCs/>
          <w:sz w:val="24"/>
          <w:szCs w:val="24"/>
        </w:rPr>
        <w:t xml:space="preserve">TEXTO PROPUESTO PARA </w:t>
      </w:r>
      <w:r w:rsidRPr="00027BFB">
        <w:rPr>
          <w:rFonts w:ascii="Arial" w:hAnsi="Arial" w:cs="Arial"/>
          <w:b/>
          <w:bCs/>
          <w:sz w:val="24"/>
          <w:szCs w:val="24"/>
        </w:rPr>
        <w:t>SEGUNDO DEBATE EN CÁMARA AL PROYECTO DE ACTO LEGISLATIVO</w:t>
      </w:r>
      <w:r>
        <w:rPr>
          <w:rFonts w:ascii="Arial" w:hAnsi="Arial" w:cs="Arial"/>
          <w:b/>
          <w:bCs/>
          <w:sz w:val="24"/>
          <w:szCs w:val="24"/>
        </w:rPr>
        <w:t xml:space="preserve"> N° 172 </w:t>
      </w:r>
      <w:r w:rsidRPr="00027BFB">
        <w:rPr>
          <w:rFonts w:ascii="Arial" w:hAnsi="Arial" w:cs="Arial"/>
          <w:b/>
          <w:bCs/>
          <w:sz w:val="24"/>
          <w:szCs w:val="24"/>
        </w:rPr>
        <w:t xml:space="preserve">DE 2019, </w:t>
      </w:r>
      <w:r w:rsidRPr="00027BFB">
        <w:rPr>
          <w:rFonts w:ascii="Arial" w:hAnsi="Arial" w:cs="Arial"/>
          <w:b/>
          <w:bCs/>
          <w:i/>
          <w:iCs/>
          <w:sz w:val="24"/>
          <w:szCs w:val="24"/>
        </w:rPr>
        <w:t>“POR MEDIO DEL CUAL SE MODIFICA EL ARTÍCULO 49 DE LA CONSTITUCIÓN POLÍTICA DE COLOMBIA Y SE REGULARIZA EL USO RECREATIVO DEL CANNABIS”.</w:t>
      </w:r>
    </w:p>
    <w:p w14:paraId="3C1D42E1" w14:textId="77777777" w:rsidR="00F05A4B" w:rsidRPr="00AF43B7" w:rsidRDefault="00F05A4B" w:rsidP="00F05A4B">
      <w:pPr>
        <w:pStyle w:val="NormalWeb"/>
        <w:shd w:val="clear" w:color="auto" w:fill="FFFFFF"/>
        <w:spacing w:before="0" w:beforeAutospacing="0" w:after="0" w:afterAutospacing="0"/>
        <w:jc w:val="center"/>
        <w:rPr>
          <w:rStyle w:val="Textoennegrita"/>
          <w:rFonts w:ascii="Arial" w:hAnsi="Arial" w:cs="Arial"/>
        </w:rPr>
      </w:pPr>
      <w:r w:rsidRPr="00AF43B7">
        <w:rPr>
          <w:rStyle w:val="Textoennegrita"/>
          <w:rFonts w:ascii="Arial" w:hAnsi="Arial" w:cs="Arial"/>
        </w:rPr>
        <w:t>EL CONGRESO DE COLOMBIA</w:t>
      </w:r>
    </w:p>
    <w:p w14:paraId="499B90F9" w14:textId="77777777" w:rsidR="00F05A4B" w:rsidRPr="00AF43B7" w:rsidRDefault="00F05A4B" w:rsidP="00F05A4B">
      <w:pPr>
        <w:pStyle w:val="NormalWeb"/>
        <w:shd w:val="clear" w:color="auto" w:fill="FFFFFF"/>
        <w:spacing w:before="0" w:beforeAutospacing="0" w:after="0" w:afterAutospacing="0"/>
        <w:jc w:val="center"/>
        <w:rPr>
          <w:rFonts w:ascii="Arial" w:hAnsi="Arial" w:cs="Arial"/>
        </w:rPr>
      </w:pPr>
    </w:p>
    <w:p w14:paraId="70157520" w14:textId="77777777" w:rsidR="00F05A4B" w:rsidRPr="00AF43B7" w:rsidRDefault="00F05A4B" w:rsidP="00F05A4B">
      <w:pPr>
        <w:pStyle w:val="NormalWeb"/>
        <w:shd w:val="clear" w:color="auto" w:fill="FFFFFF"/>
        <w:spacing w:before="0" w:beforeAutospacing="0" w:after="0" w:afterAutospacing="0"/>
        <w:jc w:val="center"/>
        <w:rPr>
          <w:rStyle w:val="Textoennegrita"/>
          <w:rFonts w:ascii="Arial" w:hAnsi="Arial" w:cs="Arial"/>
        </w:rPr>
      </w:pPr>
      <w:r w:rsidRPr="00AF43B7">
        <w:rPr>
          <w:rStyle w:val="Textoennegrita"/>
          <w:rFonts w:ascii="Arial" w:hAnsi="Arial" w:cs="Arial"/>
        </w:rPr>
        <w:t>DECRETA:</w:t>
      </w:r>
    </w:p>
    <w:p w14:paraId="023B3035" w14:textId="77777777" w:rsidR="00F05A4B" w:rsidRPr="00AF43B7" w:rsidRDefault="00F05A4B" w:rsidP="00F05A4B">
      <w:pPr>
        <w:pStyle w:val="NormalWeb"/>
        <w:shd w:val="clear" w:color="auto" w:fill="FFFFFF"/>
        <w:spacing w:before="0" w:beforeAutospacing="0" w:after="0" w:afterAutospacing="0"/>
        <w:jc w:val="center"/>
        <w:rPr>
          <w:rFonts w:ascii="Arial" w:hAnsi="Arial" w:cs="Arial"/>
        </w:rPr>
      </w:pPr>
    </w:p>
    <w:p w14:paraId="33B5242A" w14:textId="77777777" w:rsidR="00F05A4B" w:rsidRPr="00AF43B7" w:rsidRDefault="00F05A4B" w:rsidP="00F05A4B">
      <w:pPr>
        <w:pStyle w:val="centrado"/>
        <w:spacing w:before="0" w:beforeAutospacing="0" w:after="0" w:afterAutospacing="0"/>
        <w:jc w:val="both"/>
        <w:rPr>
          <w:rFonts w:ascii="Arial" w:hAnsi="Arial" w:cs="Arial"/>
          <w:b/>
          <w:bCs/>
        </w:rPr>
      </w:pPr>
      <w:r w:rsidRPr="00AF43B7">
        <w:rPr>
          <w:rFonts w:ascii="Arial" w:hAnsi="Arial" w:cs="Arial"/>
          <w:b/>
          <w:bCs/>
        </w:rPr>
        <w:t xml:space="preserve">ARTÍCULO 1º. </w:t>
      </w:r>
      <w:r w:rsidRPr="00AF43B7">
        <w:rPr>
          <w:rFonts w:ascii="Arial" w:hAnsi="Arial" w:cs="Arial"/>
        </w:rPr>
        <w:t>El artículo 49 de la Constitución Política quedará así:</w:t>
      </w:r>
      <w:r w:rsidRPr="00AF43B7">
        <w:rPr>
          <w:rFonts w:ascii="Arial" w:hAnsi="Arial" w:cs="Arial"/>
          <w:b/>
          <w:bCs/>
        </w:rPr>
        <w:t xml:space="preserve"> </w:t>
      </w:r>
    </w:p>
    <w:p w14:paraId="473940F7" w14:textId="77777777" w:rsidR="00F05A4B" w:rsidRPr="00AF43B7" w:rsidRDefault="00F05A4B" w:rsidP="00F05A4B">
      <w:pPr>
        <w:pStyle w:val="centrado"/>
        <w:spacing w:before="0" w:beforeAutospacing="0" w:after="0" w:afterAutospacing="0"/>
        <w:jc w:val="both"/>
        <w:rPr>
          <w:rFonts w:ascii="Arial" w:hAnsi="Arial" w:cs="Arial"/>
          <w:b/>
          <w:bCs/>
        </w:rPr>
      </w:pPr>
    </w:p>
    <w:p w14:paraId="7A7E2F2D" w14:textId="77777777" w:rsidR="00F05A4B" w:rsidRPr="00AF43B7" w:rsidRDefault="00F05A4B" w:rsidP="00F05A4B">
      <w:pPr>
        <w:ind w:left="284"/>
        <w:jc w:val="both"/>
        <w:rPr>
          <w:rFonts w:ascii="Arial" w:hAnsi="Arial" w:cs="Arial"/>
          <w:sz w:val="24"/>
          <w:szCs w:val="24"/>
        </w:rPr>
      </w:pPr>
      <w:r w:rsidRPr="00AF43B7">
        <w:rPr>
          <w:rFonts w:ascii="Arial" w:hAnsi="Arial" w:cs="Arial"/>
          <w:b/>
          <w:sz w:val="24"/>
          <w:szCs w:val="24"/>
        </w:rPr>
        <w:t xml:space="preserve">ARTÍCULO 49o. </w:t>
      </w:r>
      <w:r w:rsidRPr="00AF43B7">
        <w:rPr>
          <w:rFonts w:ascii="Arial" w:hAnsi="Arial" w:cs="Arial"/>
          <w:sz w:val="24"/>
          <w:szCs w:val="24"/>
        </w:rPr>
        <w:t>La atención de la salud y el saneamiento ambiental son servicios públicos a cargo del Estado. Se garantiza a todas las personas el acceso a los servicios de promoción, protección y recuperación de la salud.</w:t>
      </w:r>
    </w:p>
    <w:p w14:paraId="55E4BD51" w14:textId="77777777" w:rsidR="00F05A4B" w:rsidRPr="00AF43B7" w:rsidRDefault="00F05A4B" w:rsidP="00F05A4B">
      <w:pPr>
        <w:ind w:left="284"/>
        <w:jc w:val="both"/>
        <w:rPr>
          <w:rFonts w:ascii="Arial" w:hAnsi="Arial" w:cs="Arial"/>
          <w:sz w:val="24"/>
          <w:szCs w:val="24"/>
        </w:rPr>
      </w:pPr>
    </w:p>
    <w:p w14:paraId="433FC2E3"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00245EFA" w14:textId="77777777" w:rsidR="00F05A4B" w:rsidRPr="00AF43B7" w:rsidRDefault="00F05A4B" w:rsidP="00F05A4B">
      <w:pPr>
        <w:ind w:left="284"/>
        <w:jc w:val="both"/>
        <w:rPr>
          <w:rFonts w:ascii="Arial" w:hAnsi="Arial" w:cs="Arial"/>
          <w:sz w:val="24"/>
          <w:szCs w:val="24"/>
        </w:rPr>
      </w:pPr>
    </w:p>
    <w:p w14:paraId="0E5C4E80"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Los servicios de salud se organizarán en forma descentralizada, por niveles de atención y con participación de la comunidad.</w:t>
      </w:r>
    </w:p>
    <w:p w14:paraId="063C4864" w14:textId="77777777" w:rsidR="00F05A4B" w:rsidRPr="00AF43B7" w:rsidRDefault="00F05A4B" w:rsidP="00F05A4B">
      <w:pPr>
        <w:ind w:left="284"/>
        <w:jc w:val="both"/>
        <w:rPr>
          <w:rFonts w:ascii="Arial" w:hAnsi="Arial" w:cs="Arial"/>
          <w:sz w:val="24"/>
          <w:szCs w:val="24"/>
        </w:rPr>
      </w:pPr>
    </w:p>
    <w:p w14:paraId="51B1D589"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La ley señalará los términos en los cuales la atención básica para todos los habitantes será gratuita y obligatoria.</w:t>
      </w:r>
    </w:p>
    <w:p w14:paraId="2E59D76C" w14:textId="77777777" w:rsidR="00F05A4B" w:rsidRPr="00AF43B7" w:rsidRDefault="00F05A4B" w:rsidP="00F05A4B">
      <w:pPr>
        <w:ind w:left="284"/>
        <w:jc w:val="both"/>
        <w:rPr>
          <w:rFonts w:ascii="Arial" w:hAnsi="Arial" w:cs="Arial"/>
          <w:sz w:val="24"/>
          <w:szCs w:val="24"/>
        </w:rPr>
      </w:pPr>
    </w:p>
    <w:p w14:paraId="47AA1071"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Toda persona tiene el deber de procurar el cuidado integral de su salud y de su comunidad.</w:t>
      </w:r>
    </w:p>
    <w:p w14:paraId="6245A075" w14:textId="77777777" w:rsidR="00F05A4B" w:rsidRPr="00AF43B7" w:rsidRDefault="00F05A4B" w:rsidP="00F05A4B">
      <w:pPr>
        <w:ind w:left="284"/>
        <w:jc w:val="both"/>
        <w:rPr>
          <w:rFonts w:ascii="Arial" w:hAnsi="Arial" w:cs="Arial"/>
          <w:sz w:val="24"/>
          <w:szCs w:val="24"/>
        </w:rPr>
      </w:pPr>
    </w:p>
    <w:p w14:paraId="24298771"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683DB2D8" w14:textId="77777777" w:rsidR="00F05A4B" w:rsidRPr="00AF43B7" w:rsidRDefault="00F05A4B" w:rsidP="00F05A4B">
      <w:pPr>
        <w:ind w:left="284"/>
        <w:jc w:val="both"/>
        <w:rPr>
          <w:rFonts w:ascii="Arial" w:hAnsi="Arial" w:cs="Arial"/>
          <w:sz w:val="24"/>
          <w:szCs w:val="24"/>
        </w:rPr>
      </w:pPr>
    </w:p>
    <w:p w14:paraId="2202FC89" w14:textId="4D86EE3C" w:rsidR="00F05A4B" w:rsidRPr="008747E2" w:rsidRDefault="00F05A4B" w:rsidP="00F05A4B">
      <w:pPr>
        <w:ind w:left="284"/>
        <w:jc w:val="both"/>
        <w:rPr>
          <w:rFonts w:ascii="Arial" w:hAnsi="Arial" w:cs="Arial"/>
          <w:sz w:val="24"/>
          <w:szCs w:val="24"/>
        </w:rPr>
      </w:pPr>
      <w:r w:rsidRPr="008747E2">
        <w:rPr>
          <w:rFonts w:ascii="Arial" w:hAnsi="Arial" w:cs="Arial"/>
          <w:bCs/>
          <w:sz w:val="24"/>
          <w:szCs w:val="24"/>
        </w:rPr>
        <w:t>La prohibición prevista en el inciso anterior no aplicará frente al cannabis y sus derivados para el uso recreativo por parte de mayores de edad y dentro de los establecimientos que disponga la ley. Tampoco aplicará para su destinación científica, siempre y cuando se cuente con las licencias otorgadas por la autoridad competente.</w:t>
      </w:r>
      <w:r w:rsidR="00376DE2" w:rsidRPr="008747E2">
        <w:rPr>
          <w:rFonts w:ascii="Arial" w:hAnsi="Arial" w:cs="Arial"/>
          <w:bCs/>
          <w:sz w:val="24"/>
          <w:szCs w:val="24"/>
        </w:rPr>
        <w:t xml:space="preserve"> </w:t>
      </w:r>
      <w:r w:rsidR="00376DE2" w:rsidRPr="008747E2">
        <w:rPr>
          <w:rFonts w:ascii="Arial" w:hAnsi="Arial" w:cs="Arial"/>
          <w:sz w:val="24"/>
          <w:szCs w:val="24"/>
        </w:rPr>
        <w:t>La Ley podrá restringir y sancionar el porte y consumo del cannabis y sus derivados en espacios públicos y zonas comunes.</w:t>
      </w:r>
    </w:p>
    <w:p w14:paraId="679ED51B" w14:textId="77777777" w:rsidR="00F05A4B" w:rsidRPr="00AF43B7" w:rsidRDefault="00F05A4B" w:rsidP="00F05A4B">
      <w:pPr>
        <w:ind w:left="284"/>
        <w:jc w:val="both"/>
        <w:rPr>
          <w:rFonts w:ascii="Arial" w:hAnsi="Arial" w:cs="Arial"/>
          <w:sz w:val="24"/>
          <w:szCs w:val="24"/>
        </w:rPr>
      </w:pPr>
    </w:p>
    <w:p w14:paraId="536255A2" w14:textId="77777777" w:rsidR="00F05A4B" w:rsidRPr="00AF43B7" w:rsidRDefault="00F05A4B" w:rsidP="00F05A4B">
      <w:pPr>
        <w:ind w:left="284"/>
        <w:jc w:val="both"/>
        <w:rPr>
          <w:rFonts w:ascii="Arial" w:hAnsi="Arial" w:cs="Arial"/>
          <w:sz w:val="24"/>
          <w:szCs w:val="24"/>
        </w:rPr>
      </w:pPr>
      <w:r w:rsidRPr="00AF43B7">
        <w:rPr>
          <w:rFonts w:ascii="Arial" w:hAnsi="Arial" w:cs="Arial"/>
          <w:sz w:val="24"/>
          <w:szCs w:val="24"/>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7E7C061C" w14:textId="77777777" w:rsidR="00F05A4B" w:rsidRPr="00AF43B7" w:rsidRDefault="00F05A4B" w:rsidP="00F05A4B">
      <w:pPr>
        <w:ind w:left="284"/>
        <w:jc w:val="both"/>
        <w:rPr>
          <w:rFonts w:ascii="Arial" w:hAnsi="Arial" w:cs="Arial"/>
          <w:sz w:val="24"/>
          <w:szCs w:val="24"/>
        </w:rPr>
      </w:pPr>
    </w:p>
    <w:p w14:paraId="68224825" w14:textId="1E351C5E" w:rsidR="0019685D" w:rsidRDefault="00F05A4B" w:rsidP="00F05A4B">
      <w:pPr>
        <w:pStyle w:val="NormalWeb"/>
        <w:spacing w:before="0" w:beforeAutospacing="0" w:after="0" w:afterAutospacing="0"/>
        <w:jc w:val="both"/>
        <w:rPr>
          <w:rFonts w:ascii="Arial" w:hAnsi="Arial" w:cs="Arial"/>
        </w:rPr>
      </w:pPr>
      <w:r w:rsidRPr="00AF43B7">
        <w:rPr>
          <w:rFonts w:ascii="Arial" w:hAnsi="Arial" w:cs="Arial"/>
          <w:b/>
          <w:bCs/>
        </w:rPr>
        <w:t>ARTÍCULO 2. VIGENCIA.</w:t>
      </w:r>
      <w:r w:rsidRPr="00AF43B7">
        <w:rPr>
          <w:rFonts w:ascii="Arial" w:hAnsi="Arial" w:cs="Arial"/>
        </w:rPr>
        <w:t> El presente Acto Legislativo rige a partir de su promulgación.</w:t>
      </w:r>
    </w:p>
    <w:p w14:paraId="78047BBC" w14:textId="23120D22" w:rsidR="0019685D" w:rsidRDefault="0019685D" w:rsidP="00F05A4B">
      <w:pPr>
        <w:pStyle w:val="NormalWeb"/>
        <w:spacing w:before="0" w:beforeAutospacing="0" w:after="0" w:afterAutospacing="0"/>
        <w:jc w:val="both"/>
        <w:rPr>
          <w:rFonts w:ascii="Arial" w:hAnsi="Arial" w:cs="Arial"/>
        </w:rPr>
      </w:pPr>
    </w:p>
    <w:p w14:paraId="068E9F95" w14:textId="4C6E6011" w:rsidR="00EE1C73" w:rsidRDefault="00EE1C73" w:rsidP="00F05A4B">
      <w:pPr>
        <w:pStyle w:val="NormalWeb"/>
        <w:spacing w:before="0" w:beforeAutospacing="0" w:after="0" w:afterAutospacing="0"/>
        <w:jc w:val="both"/>
        <w:rPr>
          <w:rFonts w:ascii="Arial" w:hAnsi="Arial" w:cs="Arial"/>
        </w:rPr>
      </w:pPr>
    </w:p>
    <w:p w14:paraId="41685813" w14:textId="77777777" w:rsidR="00376DE2" w:rsidRDefault="00376DE2" w:rsidP="00F05A4B">
      <w:pPr>
        <w:pStyle w:val="NormalWeb"/>
        <w:spacing w:before="0" w:beforeAutospacing="0" w:after="0" w:afterAutospacing="0"/>
        <w:jc w:val="both"/>
        <w:rPr>
          <w:rFonts w:ascii="Arial" w:hAnsi="Arial" w:cs="Arial"/>
        </w:rPr>
      </w:pPr>
    </w:p>
    <w:p w14:paraId="65CB056B" w14:textId="77777777" w:rsidR="0019685D" w:rsidRPr="00AF43B7" w:rsidRDefault="0019685D" w:rsidP="00F05A4B">
      <w:pPr>
        <w:pStyle w:val="NormalWeb"/>
        <w:spacing w:before="0" w:beforeAutospacing="0" w:after="0" w:afterAutospacing="0"/>
        <w:jc w:val="both"/>
        <w:rPr>
          <w:rFonts w:ascii="Arial" w:hAnsi="Arial" w:cs="Arial"/>
        </w:rPr>
      </w:pPr>
    </w:p>
    <w:p w14:paraId="0BD1EE61" w14:textId="77777777" w:rsidR="0019685D" w:rsidRPr="00AF43B7" w:rsidRDefault="0019685D" w:rsidP="0019685D">
      <w:pPr>
        <w:ind w:left="993" w:hanging="1080"/>
        <w:rPr>
          <w:rFonts w:ascii="Arial" w:eastAsia="Calibri" w:hAnsi="Arial" w:cs="Arial"/>
          <w:color w:val="000000"/>
          <w:sz w:val="24"/>
          <w:szCs w:val="24"/>
        </w:rPr>
      </w:pPr>
      <w:r w:rsidRPr="00AF43B7">
        <w:rPr>
          <w:rFonts w:ascii="Arial" w:eastAsia="Calibri" w:hAnsi="Arial" w:cs="Arial"/>
          <w:color w:val="000000"/>
          <w:sz w:val="24"/>
          <w:szCs w:val="24"/>
          <w:highlight w:val="white"/>
        </w:rPr>
        <w:t xml:space="preserve">De los honorables congresistas, </w:t>
      </w:r>
    </w:p>
    <w:p w14:paraId="643AD3BB" w14:textId="77777777" w:rsidR="00F05A4B" w:rsidRPr="00AF43B7" w:rsidRDefault="00F05A4B" w:rsidP="00F05A4B">
      <w:pPr>
        <w:rPr>
          <w:rFonts w:ascii="Arial" w:hAnsi="Arial" w:cs="Arial"/>
          <w:b/>
          <w:sz w:val="24"/>
          <w:szCs w:val="24"/>
        </w:rPr>
      </w:pPr>
    </w:p>
    <w:p w14:paraId="3FD9A771" w14:textId="52C96D5C" w:rsidR="00F05A4B" w:rsidRDefault="00F05A4B" w:rsidP="00F05A4B">
      <w:pPr>
        <w:rPr>
          <w:rFonts w:ascii="Arial" w:hAnsi="Arial" w:cs="Arial"/>
          <w:sz w:val="24"/>
          <w:szCs w:val="24"/>
        </w:rPr>
      </w:pPr>
    </w:p>
    <w:p w14:paraId="12E22718" w14:textId="09027733" w:rsidR="00EE1C73" w:rsidRDefault="00EE1C73" w:rsidP="00F05A4B">
      <w:pPr>
        <w:rPr>
          <w:rFonts w:ascii="Arial" w:hAnsi="Arial" w:cs="Arial"/>
          <w:sz w:val="24"/>
          <w:szCs w:val="24"/>
        </w:rPr>
      </w:pPr>
    </w:p>
    <w:p w14:paraId="3EA38AD6" w14:textId="77777777" w:rsidR="00EE1C73" w:rsidRPr="00AF43B7" w:rsidRDefault="00EE1C73" w:rsidP="00F05A4B">
      <w:pPr>
        <w:rPr>
          <w:rFonts w:ascii="Arial" w:hAnsi="Arial" w:cs="Arial"/>
          <w:sz w:val="24"/>
          <w:szCs w:val="24"/>
        </w:rPr>
      </w:pPr>
    </w:p>
    <w:p w14:paraId="7CA297F6" w14:textId="5FD95045" w:rsidR="0019685D" w:rsidRDefault="0019685D" w:rsidP="0019685D">
      <w:pPr>
        <w:jc w:val="both"/>
        <w:rPr>
          <w:rFonts w:ascii="Arial" w:hAnsi="Arial" w:cs="Arial"/>
          <w:sz w:val="24"/>
          <w:szCs w:val="24"/>
        </w:rPr>
      </w:pPr>
      <w:r w:rsidRPr="0019685D">
        <w:rPr>
          <w:rFonts w:ascii="Arial" w:hAnsi="Arial" w:cs="Arial"/>
          <w:sz w:val="24"/>
          <w:szCs w:val="24"/>
        </w:rPr>
        <w:t>________________________</w:t>
      </w:r>
    </w:p>
    <w:p w14:paraId="2EE9567C" w14:textId="77777777" w:rsidR="0019685D" w:rsidRPr="0019685D" w:rsidRDefault="0019685D" w:rsidP="0019685D">
      <w:pPr>
        <w:ind w:left="426"/>
        <w:jc w:val="both"/>
        <w:rPr>
          <w:rFonts w:ascii="Arial" w:hAnsi="Arial" w:cs="Arial"/>
          <w:sz w:val="24"/>
          <w:szCs w:val="24"/>
        </w:rPr>
      </w:pPr>
    </w:p>
    <w:p w14:paraId="04ACAE02" w14:textId="77777777" w:rsidR="0019685D" w:rsidRPr="0019685D" w:rsidRDefault="0019685D" w:rsidP="0019685D">
      <w:pPr>
        <w:jc w:val="both"/>
        <w:rPr>
          <w:rFonts w:ascii="Arial" w:hAnsi="Arial" w:cs="Arial"/>
          <w:b/>
          <w:bCs/>
          <w:sz w:val="24"/>
          <w:szCs w:val="24"/>
        </w:rPr>
      </w:pPr>
      <w:r w:rsidRPr="0019685D">
        <w:rPr>
          <w:rFonts w:ascii="Arial" w:hAnsi="Arial" w:cs="Arial"/>
          <w:b/>
          <w:bCs/>
          <w:sz w:val="24"/>
          <w:szCs w:val="24"/>
        </w:rPr>
        <w:t>JUAN FERNANDO REYES KURI</w:t>
      </w:r>
    </w:p>
    <w:p w14:paraId="6F9C3D18" w14:textId="77777777" w:rsidR="0019685D" w:rsidRPr="0019685D" w:rsidRDefault="0019685D" w:rsidP="0019685D">
      <w:pPr>
        <w:jc w:val="both"/>
        <w:rPr>
          <w:rFonts w:ascii="Arial" w:hAnsi="Arial" w:cs="Arial"/>
          <w:sz w:val="24"/>
          <w:szCs w:val="24"/>
        </w:rPr>
      </w:pPr>
      <w:r w:rsidRPr="0019685D">
        <w:rPr>
          <w:rFonts w:ascii="Arial" w:hAnsi="Arial" w:cs="Arial"/>
          <w:sz w:val="24"/>
          <w:szCs w:val="24"/>
        </w:rPr>
        <w:t>Representante a la Cámara por el Valle del Cauca</w:t>
      </w:r>
    </w:p>
    <w:p w14:paraId="398492DE" w14:textId="27317618" w:rsidR="00F05A4B" w:rsidRDefault="0019685D" w:rsidP="0019685D">
      <w:pPr>
        <w:jc w:val="both"/>
        <w:rPr>
          <w:rFonts w:ascii="Arial" w:hAnsi="Arial" w:cs="Arial"/>
          <w:sz w:val="24"/>
          <w:szCs w:val="24"/>
        </w:rPr>
      </w:pPr>
      <w:r w:rsidRPr="0019685D">
        <w:rPr>
          <w:rFonts w:ascii="Arial" w:hAnsi="Arial" w:cs="Arial"/>
          <w:sz w:val="24"/>
          <w:szCs w:val="24"/>
        </w:rPr>
        <w:t>Partido Libera</w:t>
      </w:r>
      <w:r>
        <w:rPr>
          <w:rFonts w:ascii="Arial" w:hAnsi="Arial" w:cs="Arial"/>
          <w:sz w:val="24"/>
          <w:szCs w:val="24"/>
        </w:rPr>
        <w:t>l</w:t>
      </w:r>
    </w:p>
    <w:p w14:paraId="2F8C46BE" w14:textId="288CBC85" w:rsidR="00EE1C73" w:rsidRDefault="00EE1C73" w:rsidP="0019685D">
      <w:pPr>
        <w:jc w:val="both"/>
        <w:rPr>
          <w:rFonts w:ascii="Arial" w:hAnsi="Arial" w:cs="Arial"/>
          <w:sz w:val="24"/>
          <w:szCs w:val="24"/>
        </w:rPr>
      </w:pPr>
    </w:p>
    <w:p w14:paraId="3A29064B" w14:textId="52E34C21" w:rsidR="00EE1C73" w:rsidRDefault="00EE1C73" w:rsidP="0019685D">
      <w:pPr>
        <w:jc w:val="both"/>
        <w:rPr>
          <w:rFonts w:ascii="Arial" w:hAnsi="Arial" w:cs="Arial"/>
          <w:sz w:val="24"/>
          <w:szCs w:val="24"/>
        </w:rPr>
      </w:pPr>
    </w:p>
    <w:p w14:paraId="5FBCCB64" w14:textId="77777777" w:rsidR="00376DE2" w:rsidRDefault="00376DE2" w:rsidP="0019685D">
      <w:pPr>
        <w:jc w:val="both"/>
        <w:rPr>
          <w:rFonts w:ascii="Arial" w:hAnsi="Arial" w:cs="Arial"/>
          <w:sz w:val="24"/>
          <w:szCs w:val="24"/>
        </w:rPr>
      </w:pPr>
    </w:p>
    <w:p w14:paraId="7FB42714" w14:textId="3D4C3017" w:rsidR="00EE1C73" w:rsidRDefault="00EE1C73" w:rsidP="0019685D">
      <w:pPr>
        <w:jc w:val="both"/>
        <w:rPr>
          <w:rFonts w:ascii="Arial" w:hAnsi="Arial" w:cs="Arial"/>
          <w:sz w:val="24"/>
          <w:szCs w:val="24"/>
        </w:rPr>
      </w:pPr>
    </w:p>
    <w:p w14:paraId="2EDDA5B8" w14:textId="45A46781" w:rsidR="00EE1C73" w:rsidRDefault="00EE1C73" w:rsidP="0019685D">
      <w:pPr>
        <w:jc w:val="both"/>
        <w:rPr>
          <w:rFonts w:ascii="Arial" w:hAnsi="Arial" w:cs="Arial"/>
          <w:sz w:val="24"/>
          <w:szCs w:val="24"/>
        </w:rPr>
      </w:pPr>
    </w:p>
    <w:p w14:paraId="4F23A3D1" w14:textId="25506E9B" w:rsidR="00191D6F" w:rsidRDefault="00191D6F" w:rsidP="0019685D">
      <w:pPr>
        <w:jc w:val="both"/>
        <w:rPr>
          <w:rFonts w:ascii="Arial" w:hAnsi="Arial" w:cs="Arial"/>
          <w:sz w:val="24"/>
          <w:szCs w:val="24"/>
        </w:rPr>
      </w:pPr>
    </w:p>
    <w:p w14:paraId="19AFF672" w14:textId="77777777" w:rsidR="00191D6F" w:rsidRDefault="00191D6F" w:rsidP="0019685D">
      <w:pPr>
        <w:jc w:val="both"/>
        <w:rPr>
          <w:rFonts w:ascii="Arial" w:hAnsi="Arial" w:cs="Arial"/>
          <w:sz w:val="24"/>
          <w:szCs w:val="24"/>
        </w:rPr>
      </w:pPr>
    </w:p>
    <w:p w14:paraId="7EA822EE" w14:textId="1350FBC0" w:rsidR="00EE1C73" w:rsidRDefault="00EE1C73" w:rsidP="0019685D">
      <w:pPr>
        <w:jc w:val="both"/>
        <w:rPr>
          <w:rFonts w:ascii="Arial" w:hAnsi="Arial" w:cs="Arial"/>
          <w:sz w:val="24"/>
          <w:szCs w:val="24"/>
        </w:rPr>
      </w:pPr>
    </w:p>
    <w:p w14:paraId="24D6AED2" w14:textId="5AFD7F5C" w:rsidR="00EE1C73" w:rsidRDefault="00EE1C73" w:rsidP="0019685D">
      <w:pPr>
        <w:jc w:val="both"/>
        <w:rPr>
          <w:rFonts w:ascii="Arial" w:hAnsi="Arial" w:cs="Arial"/>
          <w:sz w:val="24"/>
          <w:szCs w:val="24"/>
        </w:rPr>
      </w:pPr>
    </w:p>
    <w:p w14:paraId="4A0BDACA" w14:textId="43D56694" w:rsidR="00EE1C73" w:rsidRDefault="00EE1C73" w:rsidP="0019685D">
      <w:pPr>
        <w:jc w:val="both"/>
        <w:rPr>
          <w:rFonts w:ascii="Arial" w:hAnsi="Arial" w:cs="Arial"/>
          <w:sz w:val="24"/>
          <w:szCs w:val="24"/>
        </w:rPr>
      </w:pPr>
    </w:p>
    <w:p w14:paraId="6CCD0485" w14:textId="10334A78" w:rsidR="00EE1C73" w:rsidRDefault="00EE1C73" w:rsidP="0019685D">
      <w:pPr>
        <w:jc w:val="both"/>
        <w:rPr>
          <w:rFonts w:ascii="Arial" w:hAnsi="Arial" w:cs="Arial"/>
          <w:sz w:val="24"/>
          <w:szCs w:val="24"/>
        </w:rPr>
      </w:pPr>
    </w:p>
    <w:p w14:paraId="1ABCA3A8" w14:textId="13A156D2" w:rsidR="00EE1C73" w:rsidRDefault="00EE1C73" w:rsidP="0019685D">
      <w:pPr>
        <w:jc w:val="both"/>
        <w:rPr>
          <w:rFonts w:ascii="Arial" w:hAnsi="Arial" w:cs="Arial"/>
          <w:sz w:val="24"/>
          <w:szCs w:val="24"/>
        </w:rPr>
      </w:pPr>
    </w:p>
    <w:p w14:paraId="2F8C620C" w14:textId="379A4332" w:rsidR="00376DE2" w:rsidRDefault="00376DE2" w:rsidP="0019685D">
      <w:pPr>
        <w:jc w:val="both"/>
        <w:rPr>
          <w:rFonts w:ascii="Arial" w:hAnsi="Arial" w:cs="Arial"/>
          <w:sz w:val="24"/>
          <w:szCs w:val="24"/>
        </w:rPr>
      </w:pPr>
    </w:p>
    <w:p w14:paraId="3410B107" w14:textId="7F64278A" w:rsidR="00376DE2" w:rsidRDefault="00376DE2" w:rsidP="0019685D">
      <w:pPr>
        <w:jc w:val="both"/>
        <w:rPr>
          <w:rFonts w:ascii="Arial" w:hAnsi="Arial" w:cs="Arial"/>
          <w:sz w:val="24"/>
          <w:szCs w:val="24"/>
        </w:rPr>
      </w:pPr>
    </w:p>
    <w:p w14:paraId="404DDCB5" w14:textId="0618E419" w:rsidR="00376DE2" w:rsidRDefault="00376DE2" w:rsidP="0019685D">
      <w:pPr>
        <w:jc w:val="both"/>
        <w:rPr>
          <w:rFonts w:ascii="Arial" w:hAnsi="Arial" w:cs="Arial"/>
          <w:sz w:val="24"/>
          <w:szCs w:val="24"/>
        </w:rPr>
      </w:pPr>
    </w:p>
    <w:p w14:paraId="03F34C7B" w14:textId="77777777" w:rsidR="00376DE2" w:rsidRDefault="00376DE2" w:rsidP="0019685D">
      <w:pPr>
        <w:jc w:val="both"/>
        <w:rPr>
          <w:rFonts w:ascii="Arial" w:hAnsi="Arial" w:cs="Arial"/>
          <w:sz w:val="24"/>
          <w:szCs w:val="24"/>
        </w:rPr>
      </w:pPr>
    </w:p>
    <w:p w14:paraId="24A7C1FB" w14:textId="77777777" w:rsidR="00EE1C73" w:rsidRPr="0019685D" w:rsidRDefault="00EE1C73" w:rsidP="0019685D">
      <w:pPr>
        <w:jc w:val="both"/>
        <w:rPr>
          <w:rFonts w:ascii="Arial" w:hAnsi="Arial" w:cs="Arial"/>
          <w:sz w:val="24"/>
          <w:szCs w:val="24"/>
        </w:rPr>
      </w:pPr>
    </w:p>
    <w:p w14:paraId="5592361C" w14:textId="77777777" w:rsidR="00E2362B" w:rsidRPr="00AF43B7" w:rsidRDefault="00E2362B" w:rsidP="00F55092">
      <w:pPr>
        <w:pStyle w:val="NormalWeb"/>
        <w:spacing w:before="0" w:beforeAutospacing="0" w:after="0" w:afterAutospacing="0"/>
        <w:ind w:right="115"/>
        <w:jc w:val="both"/>
        <w:rPr>
          <w:rFonts w:ascii="Arial" w:eastAsia="Calibri" w:hAnsi="Arial" w:cs="Arial"/>
          <w:lang w:val="es-ES_tradnl"/>
        </w:rPr>
      </w:pPr>
    </w:p>
    <w:p w14:paraId="34415C63" w14:textId="0E04DB27" w:rsidR="00F709EB" w:rsidRPr="00AF43B7" w:rsidRDefault="00F709EB" w:rsidP="00F55092">
      <w:pPr>
        <w:pStyle w:val="Ttulo2"/>
        <w:numPr>
          <w:ilvl w:val="0"/>
          <w:numId w:val="35"/>
        </w:numPr>
        <w:ind w:left="-1133" w:firstLine="0"/>
        <w:jc w:val="center"/>
        <w:rPr>
          <w:rFonts w:ascii="Arial" w:eastAsia="Calibri" w:hAnsi="Arial" w:cs="Arial"/>
          <w:sz w:val="24"/>
          <w:szCs w:val="24"/>
        </w:rPr>
      </w:pPr>
      <w:r w:rsidRPr="00AF43B7">
        <w:rPr>
          <w:rFonts w:ascii="Arial" w:eastAsia="Calibri" w:hAnsi="Arial" w:cs="Arial"/>
          <w:sz w:val="24"/>
          <w:szCs w:val="24"/>
        </w:rPr>
        <w:t>RE</w:t>
      </w:r>
      <w:r w:rsidR="00F06C98" w:rsidRPr="00AF43B7">
        <w:rPr>
          <w:rFonts w:ascii="Arial" w:eastAsia="Calibri" w:hAnsi="Arial" w:cs="Arial"/>
          <w:sz w:val="24"/>
          <w:szCs w:val="24"/>
        </w:rPr>
        <w:t>F</w:t>
      </w:r>
      <w:r w:rsidRPr="00AF43B7">
        <w:rPr>
          <w:rFonts w:ascii="Arial" w:eastAsia="Calibri" w:hAnsi="Arial" w:cs="Arial"/>
          <w:sz w:val="24"/>
          <w:szCs w:val="24"/>
        </w:rPr>
        <w:t>ERENCIAS</w:t>
      </w:r>
    </w:p>
    <w:p w14:paraId="4A82241F" w14:textId="77777777" w:rsidR="00F709EB" w:rsidRPr="00AF43B7" w:rsidRDefault="00F709EB" w:rsidP="00F55092">
      <w:pPr>
        <w:rPr>
          <w:rFonts w:ascii="Arial" w:eastAsia="Calibri" w:hAnsi="Arial" w:cs="Arial"/>
          <w:sz w:val="24"/>
          <w:szCs w:val="24"/>
        </w:rPr>
      </w:pPr>
    </w:p>
    <w:p w14:paraId="23121AFD" w14:textId="77777777" w:rsidR="00B61122" w:rsidRPr="00AF43B7" w:rsidRDefault="00B61122" w:rsidP="00F55092">
      <w:pPr>
        <w:pStyle w:val="Textonotapie"/>
        <w:numPr>
          <w:ilvl w:val="0"/>
          <w:numId w:val="33"/>
        </w:numPr>
        <w:jc w:val="both"/>
        <w:rPr>
          <w:rStyle w:val="Hipervnculo"/>
          <w:rFonts w:ascii="Arial" w:hAnsi="Arial" w:cs="Arial"/>
          <w:i/>
          <w:color w:val="auto"/>
          <w:sz w:val="24"/>
          <w:szCs w:val="24"/>
        </w:rPr>
      </w:pPr>
      <w:r w:rsidRPr="00AF43B7">
        <w:rPr>
          <w:rFonts w:ascii="Arial" w:hAnsi="Arial" w:cs="Arial"/>
          <w:i/>
          <w:sz w:val="24"/>
          <w:szCs w:val="24"/>
          <w:lang w:val="en-US"/>
        </w:rPr>
        <w:t xml:space="preserve">Blumenauer, E. 2018. The Path Forward: Rethinking Federal Marijuana Policy. </w:t>
      </w:r>
      <w:r w:rsidRPr="00AF43B7">
        <w:rPr>
          <w:rFonts w:ascii="Arial" w:hAnsi="Arial" w:cs="Arial"/>
          <w:i/>
          <w:sz w:val="24"/>
          <w:szCs w:val="24"/>
        </w:rPr>
        <w:t xml:space="preserve">(P.p.10).  Recuperado de: </w:t>
      </w:r>
      <w:r w:rsidRPr="00AF43B7">
        <w:rPr>
          <w:rStyle w:val="Hipervnculo"/>
          <w:rFonts w:ascii="Arial" w:hAnsi="Arial" w:cs="Arial"/>
          <w:i/>
          <w:color w:val="auto"/>
          <w:sz w:val="24"/>
          <w:szCs w:val="24"/>
        </w:rPr>
        <w:t>https://blumenauer.house.gov/sites/blumenauer.house.gov/files/BlumenauerReport_ThePathForward.pdf</w:t>
      </w:r>
    </w:p>
    <w:p w14:paraId="08A2189B" w14:textId="77777777" w:rsidR="00B61122" w:rsidRPr="00AF43B7" w:rsidRDefault="00B61122" w:rsidP="00F55092">
      <w:pPr>
        <w:pStyle w:val="Textonotapie"/>
        <w:ind w:left="720"/>
        <w:jc w:val="both"/>
        <w:rPr>
          <w:rStyle w:val="Hipervnculo"/>
          <w:rFonts w:ascii="Arial" w:hAnsi="Arial" w:cs="Arial"/>
          <w:i/>
          <w:color w:val="auto"/>
          <w:sz w:val="24"/>
          <w:szCs w:val="24"/>
        </w:rPr>
      </w:pPr>
    </w:p>
    <w:p w14:paraId="4D96AABB" w14:textId="77777777" w:rsidR="00B61122" w:rsidRPr="00AF43B7" w:rsidRDefault="00B61122" w:rsidP="00F55092">
      <w:pPr>
        <w:pStyle w:val="Textonotapie"/>
        <w:numPr>
          <w:ilvl w:val="0"/>
          <w:numId w:val="33"/>
        </w:numPr>
        <w:jc w:val="both"/>
        <w:rPr>
          <w:rStyle w:val="Hipervnculo"/>
          <w:rFonts w:ascii="Arial" w:hAnsi="Arial" w:cs="Arial"/>
          <w:i/>
          <w:color w:val="auto"/>
          <w:sz w:val="24"/>
          <w:szCs w:val="24"/>
        </w:rPr>
      </w:pPr>
      <w:r w:rsidRPr="00AF43B7">
        <w:rPr>
          <w:rFonts w:ascii="Arial" w:hAnsi="Arial" w:cs="Arial"/>
          <w:i/>
          <w:sz w:val="24"/>
          <w:szCs w:val="24"/>
          <w:u w:val="single"/>
        </w:rPr>
        <w:t>Cesar Augusto Giraldo Giraldo, Medicina Forense, 2009.</w:t>
      </w:r>
    </w:p>
    <w:p w14:paraId="28209928" w14:textId="77777777" w:rsidR="00B61122" w:rsidRPr="00AF43B7" w:rsidRDefault="00B61122" w:rsidP="00F55092">
      <w:pPr>
        <w:jc w:val="both"/>
        <w:rPr>
          <w:rFonts w:ascii="Arial" w:hAnsi="Arial" w:cs="Arial"/>
          <w:i/>
          <w:sz w:val="24"/>
          <w:szCs w:val="24"/>
        </w:rPr>
      </w:pPr>
    </w:p>
    <w:p w14:paraId="05A0697A" w14:textId="77777777" w:rsidR="00B61122" w:rsidRPr="00AF43B7" w:rsidRDefault="00B61122" w:rsidP="00F55092">
      <w:pPr>
        <w:pStyle w:val="Prrafodelista"/>
        <w:numPr>
          <w:ilvl w:val="0"/>
          <w:numId w:val="33"/>
        </w:numPr>
        <w:spacing w:after="0" w:line="240" w:lineRule="auto"/>
        <w:jc w:val="both"/>
        <w:rPr>
          <w:rStyle w:val="Hipervnculo"/>
          <w:rFonts w:ascii="Arial" w:hAnsi="Arial" w:cs="Arial"/>
          <w:i/>
          <w:color w:val="auto"/>
          <w:sz w:val="24"/>
          <w:szCs w:val="24"/>
        </w:rPr>
      </w:pPr>
      <w:r w:rsidRPr="00AF43B7">
        <w:rPr>
          <w:rFonts w:ascii="Arial" w:hAnsi="Arial" w:cs="Arial"/>
          <w:i/>
          <w:sz w:val="24"/>
          <w:szCs w:val="24"/>
        </w:rPr>
        <w:t xml:space="preserve">Centro de Estudios de Derecho, Justicia y Sociedad, Dejusticia. 2017. Sobredosis Carcelaria y Política de Drogas en América Latina. Documentos Dejusticia 37. Recuperado de: </w:t>
      </w:r>
      <w:r w:rsidRPr="00AF43B7">
        <w:rPr>
          <w:rStyle w:val="Hipervnculo"/>
          <w:rFonts w:ascii="Arial" w:hAnsi="Arial" w:cs="Arial"/>
          <w:i/>
          <w:color w:val="auto"/>
          <w:sz w:val="24"/>
          <w:szCs w:val="24"/>
        </w:rPr>
        <w:t>https://www.dejusticia.org/wp-content/uploads/2017/07/Delitos-de-drogas-y-sobredosis-carcelaria-en-Colombia-Version-final-PDF-para-WEB.pdf</w:t>
      </w:r>
    </w:p>
    <w:p w14:paraId="75FB2DE8" w14:textId="77777777" w:rsidR="00B61122" w:rsidRPr="00AF43B7" w:rsidRDefault="00B61122" w:rsidP="00F55092">
      <w:pPr>
        <w:pStyle w:val="Prrafodelista"/>
        <w:spacing w:after="0" w:line="240" w:lineRule="auto"/>
        <w:jc w:val="both"/>
        <w:rPr>
          <w:rFonts w:ascii="Arial" w:hAnsi="Arial" w:cs="Arial"/>
          <w:i/>
          <w:sz w:val="24"/>
          <w:szCs w:val="24"/>
        </w:rPr>
      </w:pPr>
    </w:p>
    <w:p w14:paraId="401D0D26" w14:textId="77777777" w:rsidR="00B61122" w:rsidRPr="00AF43B7" w:rsidRDefault="00B61122" w:rsidP="00F55092">
      <w:pPr>
        <w:pStyle w:val="Prrafodelista"/>
        <w:numPr>
          <w:ilvl w:val="0"/>
          <w:numId w:val="33"/>
        </w:numPr>
        <w:spacing w:after="0" w:line="240" w:lineRule="auto"/>
        <w:jc w:val="both"/>
        <w:rPr>
          <w:rStyle w:val="Hipervnculo"/>
          <w:rFonts w:ascii="Arial" w:hAnsi="Arial" w:cs="Arial"/>
          <w:i/>
          <w:color w:val="auto"/>
          <w:sz w:val="24"/>
          <w:szCs w:val="24"/>
        </w:rPr>
      </w:pPr>
      <w:r w:rsidRPr="00AF43B7">
        <w:rPr>
          <w:rFonts w:ascii="Arial" w:hAnsi="Arial" w:cs="Arial"/>
          <w:i/>
          <w:sz w:val="24"/>
          <w:szCs w:val="24"/>
        </w:rPr>
        <w:t xml:space="preserve">Comisión Global de Políticas de Drogas. 2018. Políticas De Drogas Y La Agenda Para El Desarrollo Sostenible. Recuperado de: </w:t>
      </w:r>
      <w:hyperlink r:id="rId27" w:history="1">
        <w:r w:rsidRPr="00AF43B7">
          <w:rPr>
            <w:rStyle w:val="Hipervnculo"/>
            <w:rFonts w:ascii="Arial" w:hAnsi="Arial" w:cs="Arial"/>
            <w:i/>
            <w:color w:val="auto"/>
            <w:sz w:val="24"/>
            <w:szCs w:val="24"/>
            <w:u w:val="none"/>
          </w:rPr>
          <w:t>http://www.globalcommissionondrugs.org/wp-content/uploads/2018/11/SPA-2018_SDGPaper_WEB.pdf</w:t>
        </w:r>
      </w:hyperlink>
    </w:p>
    <w:p w14:paraId="358E4BFD" w14:textId="77777777" w:rsidR="00B61122" w:rsidRPr="00AF43B7" w:rsidRDefault="00B61122" w:rsidP="00F55092">
      <w:pPr>
        <w:pStyle w:val="Prrafodelista"/>
        <w:spacing w:after="0" w:line="240" w:lineRule="auto"/>
        <w:jc w:val="both"/>
        <w:rPr>
          <w:rStyle w:val="Hipervnculo"/>
          <w:rFonts w:ascii="Arial" w:hAnsi="Arial" w:cs="Arial"/>
          <w:i/>
          <w:color w:val="auto"/>
          <w:sz w:val="24"/>
          <w:szCs w:val="24"/>
        </w:rPr>
      </w:pPr>
    </w:p>
    <w:p w14:paraId="2F05F2F1" w14:textId="77777777" w:rsidR="00B61122" w:rsidRPr="00AF43B7" w:rsidRDefault="00B61122" w:rsidP="00F55092">
      <w:pPr>
        <w:pStyle w:val="Prrafodelista"/>
        <w:numPr>
          <w:ilvl w:val="0"/>
          <w:numId w:val="33"/>
        </w:numPr>
        <w:spacing w:after="0" w:line="240" w:lineRule="auto"/>
        <w:jc w:val="both"/>
        <w:rPr>
          <w:rStyle w:val="Hipervnculo"/>
          <w:rFonts w:ascii="Arial" w:hAnsi="Arial" w:cs="Arial"/>
          <w:i/>
          <w:color w:val="auto"/>
          <w:sz w:val="24"/>
          <w:szCs w:val="24"/>
          <w:u w:val="none"/>
        </w:rPr>
      </w:pPr>
      <w:r w:rsidRPr="00AF43B7">
        <w:rPr>
          <w:rStyle w:val="Hipervnculo"/>
          <w:rFonts w:ascii="Arial" w:hAnsi="Arial" w:cs="Arial"/>
          <w:i/>
          <w:color w:val="auto"/>
          <w:sz w:val="24"/>
          <w:szCs w:val="24"/>
        </w:rPr>
        <w:t>Constitución Política de Colombia</w:t>
      </w:r>
    </w:p>
    <w:p w14:paraId="1245CCB6" w14:textId="77777777" w:rsidR="00B61122" w:rsidRPr="00AF43B7" w:rsidRDefault="00B61122" w:rsidP="00F55092">
      <w:pPr>
        <w:pStyle w:val="Prrafodelista"/>
        <w:spacing w:after="0" w:line="240" w:lineRule="auto"/>
        <w:jc w:val="both"/>
        <w:rPr>
          <w:rFonts w:ascii="Arial" w:hAnsi="Arial" w:cs="Arial"/>
          <w:i/>
          <w:sz w:val="24"/>
          <w:szCs w:val="24"/>
        </w:rPr>
      </w:pPr>
    </w:p>
    <w:p w14:paraId="1ACB2EB2" w14:textId="77777777" w:rsidR="00B61122" w:rsidRPr="00AF43B7" w:rsidRDefault="00B61122" w:rsidP="00F55092">
      <w:pPr>
        <w:pStyle w:val="Textonotapie"/>
        <w:numPr>
          <w:ilvl w:val="0"/>
          <w:numId w:val="33"/>
        </w:numPr>
        <w:jc w:val="both"/>
        <w:rPr>
          <w:rFonts w:ascii="Arial" w:hAnsi="Arial" w:cs="Arial"/>
          <w:i/>
          <w:sz w:val="24"/>
          <w:szCs w:val="24"/>
        </w:rPr>
      </w:pPr>
      <w:r w:rsidRPr="00AF43B7">
        <w:rPr>
          <w:rFonts w:ascii="Arial" w:hAnsi="Arial" w:cs="Arial"/>
          <w:i/>
          <w:sz w:val="24"/>
          <w:szCs w:val="24"/>
        </w:rPr>
        <w:t>Corte Constitucional, Sentencia C-221 de 1994. M.P. Carlos Gaviria Díaz.</w:t>
      </w:r>
    </w:p>
    <w:p w14:paraId="7FCB2E90" w14:textId="77777777" w:rsidR="00B61122" w:rsidRPr="00AF43B7" w:rsidRDefault="00B61122" w:rsidP="00F55092">
      <w:pPr>
        <w:pStyle w:val="Textonotapie"/>
        <w:jc w:val="both"/>
        <w:rPr>
          <w:rFonts w:ascii="Arial" w:hAnsi="Arial" w:cs="Arial"/>
          <w:i/>
          <w:sz w:val="24"/>
          <w:szCs w:val="24"/>
        </w:rPr>
      </w:pPr>
    </w:p>
    <w:p w14:paraId="525C2061" w14:textId="2738017C" w:rsidR="00B61122" w:rsidRDefault="00B61122" w:rsidP="00F55092">
      <w:pPr>
        <w:pStyle w:val="Textonotapie"/>
        <w:numPr>
          <w:ilvl w:val="0"/>
          <w:numId w:val="33"/>
        </w:numPr>
        <w:jc w:val="both"/>
        <w:rPr>
          <w:rFonts w:ascii="Arial" w:hAnsi="Arial" w:cs="Arial"/>
          <w:i/>
          <w:sz w:val="24"/>
          <w:szCs w:val="24"/>
        </w:rPr>
      </w:pPr>
      <w:r w:rsidRPr="00AF43B7">
        <w:rPr>
          <w:rFonts w:ascii="Arial" w:hAnsi="Arial" w:cs="Arial"/>
          <w:i/>
          <w:sz w:val="24"/>
          <w:szCs w:val="24"/>
        </w:rPr>
        <w:t>Corte Constitucional, Sentencia T-516 de 1998 M.P. Antonio Barrera.</w:t>
      </w:r>
    </w:p>
    <w:p w14:paraId="2A9DADB1" w14:textId="77777777" w:rsidR="00191D6F" w:rsidRPr="00191D6F" w:rsidRDefault="00191D6F" w:rsidP="00191D6F">
      <w:pPr>
        <w:pStyle w:val="Textonotapie"/>
        <w:jc w:val="both"/>
        <w:rPr>
          <w:rFonts w:ascii="Arial" w:hAnsi="Arial" w:cs="Arial"/>
          <w:i/>
          <w:sz w:val="24"/>
          <w:szCs w:val="24"/>
        </w:rPr>
      </w:pPr>
    </w:p>
    <w:p w14:paraId="335317D5" w14:textId="77777777" w:rsidR="00B61122" w:rsidRPr="00AF43B7" w:rsidRDefault="00B61122" w:rsidP="00F55092">
      <w:pPr>
        <w:pStyle w:val="Textonotapie"/>
        <w:numPr>
          <w:ilvl w:val="0"/>
          <w:numId w:val="33"/>
        </w:numPr>
        <w:jc w:val="both"/>
        <w:rPr>
          <w:rFonts w:ascii="Arial" w:hAnsi="Arial" w:cs="Arial"/>
          <w:i/>
          <w:sz w:val="24"/>
          <w:szCs w:val="24"/>
        </w:rPr>
      </w:pPr>
      <w:r w:rsidRPr="00AF43B7">
        <w:rPr>
          <w:rFonts w:ascii="Arial" w:hAnsi="Arial" w:cs="Arial"/>
          <w:i/>
          <w:sz w:val="24"/>
          <w:szCs w:val="24"/>
        </w:rPr>
        <w:t>Corte Constitucional, Sentencia C-336 de 2008. M.P. Clara Inés Vargas Hernández.</w:t>
      </w:r>
    </w:p>
    <w:p w14:paraId="15C6241E" w14:textId="77777777" w:rsidR="00B61122" w:rsidRPr="00AF43B7" w:rsidRDefault="00B61122" w:rsidP="00F55092">
      <w:pPr>
        <w:pStyle w:val="Textonotapie"/>
        <w:jc w:val="both"/>
        <w:rPr>
          <w:rFonts w:ascii="Arial" w:hAnsi="Arial" w:cs="Arial"/>
          <w:i/>
          <w:sz w:val="24"/>
          <w:szCs w:val="24"/>
        </w:rPr>
      </w:pPr>
    </w:p>
    <w:p w14:paraId="6D644F4A" w14:textId="77777777" w:rsidR="00B61122" w:rsidRPr="00AF43B7" w:rsidRDefault="00B61122" w:rsidP="00F55092">
      <w:pPr>
        <w:pStyle w:val="Prrafodelista"/>
        <w:numPr>
          <w:ilvl w:val="0"/>
          <w:numId w:val="33"/>
        </w:numPr>
        <w:spacing w:after="0" w:line="240" w:lineRule="auto"/>
        <w:jc w:val="both"/>
        <w:rPr>
          <w:rFonts w:ascii="Arial" w:eastAsia="Calibri" w:hAnsi="Arial" w:cs="Arial"/>
          <w:i/>
          <w:sz w:val="24"/>
          <w:szCs w:val="24"/>
        </w:rPr>
      </w:pPr>
      <w:r w:rsidRPr="00AF43B7">
        <w:rPr>
          <w:rFonts w:ascii="Arial" w:hAnsi="Arial" w:cs="Arial"/>
          <w:i/>
          <w:sz w:val="24"/>
          <w:szCs w:val="24"/>
        </w:rPr>
        <w:t>Corte Constitucional,</w:t>
      </w:r>
      <w:r w:rsidRPr="00AF43B7">
        <w:rPr>
          <w:rFonts w:ascii="Arial" w:eastAsia="Calibri" w:hAnsi="Arial" w:cs="Arial"/>
          <w:i/>
          <w:sz w:val="24"/>
          <w:szCs w:val="24"/>
          <w:lang w:val="es-ES_tradnl"/>
        </w:rPr>
        <w:t xml:space="preserve"> Sentencia C-574 de 2011. M.P. </w:t>
      </w:r>
      <w:r w:rsidRPr="00AF43B7">
        <w:rPr>
          <w:rFonts w:ascii="Arial" w:eastAsia="Calibri" w:hAnsi="Arial" w:cs="Arial"/>
          <w:i/>
          <w:sz w:val="24"/>
          <w:szCs w:val="24"/>
        </w:rPr>
        <w:t>Juan Carlos Henao Pérez.</w:t>
      </w:r>
    </w:p>
    <w:p w14:paraId="3C42B328" w14:textId="77777777" w:rsidR="00B61122" w:rsidRPr="00AF43B7" w:rsidRDefault="00B61122" w:rsidP="00F55092">
      <w:pPr>
        <w:pStyle w:val="Prrafodelista"/>
        <w:spacing w:after="0" w:line="240" w:lineRule="auto"/>
        <w:jc w:val="both"/>
        <w:rPr>
          <w:rFonts w:ascii="Arial" w:eastAsia="Calibri" w:hAnsi="Arial" w:cs="Arial"/>
          <w:i/>
          <w:sz w:val="24"/>
          <w:szCs w:val="24"/>
        </w:rPr>
      </w:pPr>
    </w:p>
    <w:p w14:paraId="6EDC53BB" w14:textId="7B61EBE0" w:rsidR="00B61122" w:rsidRDefault="00B61122" w:rsidP="00191D6F">
      <w:pPr>
        <w:pStyle w:val="Prrafodelista"/>
        <w:numPr>
          <w:ilvl w:val="0"/>
          <w:numId w:val="33"/>
        </w:numPr>
        <w:spacing w:after="0" w:line="240" w:lineRule="auto"/>
        <w:jc w:val="both"/>
        <w:rPr>
          <w:rFonts w:ascii="Arial" w:eastAsia="Calibri" w:hAnsi="Arial" w:cs="Arial"/>
          <w:i/>
          <w:sz w:val="24"/>
          <w:szCs w:val="24"/>
        </w:rPr>
      </w:pPr>
      <w:r w:rsidRPr="00AF43B7">
        <w:rPr>
          <w:rFonts w:ascii="Arial" w:hAnsi="Arial" w:cs="Arial"/>
          <w:i/>
          <w:sz w:val="24"/>
          <w:szCs w:val="24"/>
        </w:rPr>
        <w:t>Corte Constitucional</w:t>
      </w:r>
      <w:r w:rsidRPr="00AF43B7">
        <w:rPr>
          <w:rFonts w:ascii="Arial" w:eastAsia="Calibri" w:hAnsi="Arial" w:cs="Arial"/>
          <w:bCs/>
          <w:i/>
          <w:sz w:val="24"/>
          <w:szCs w:val="24"/>
        </w:rPr>
        <w:t>, Sentencia T-388 de 2013</w:t>
      </w:r>
      <w:r w:rsidRPr="00AF43B7">
        <w:rPr>
          <w:rFonts w:ascii="Arial" w:eastAsia="Calibri" w:hAnsi="Arial" w:cs="Arial"/>
          <w:i/>
          <w:sz w:val="24"/>
          <w:szCs w:val="24"/>
        </w:rPr>
        <w:t>.M.P. María Victoria Calle Correa.</w:t>
      </w:r>
    </w:p>
    <w:p w14:paraId="76A2F5F8" w14:textId="77777777" w:rsidR="00191D6F" w:rsidRPr="00191D6F" w:rsidRDefault="00191D6F" w:rsidP="00191D6F">
      <w:pPr>
        <w:jc w:val="both"/>
        <w:rPr>
          <w:rFonts w:ascii="Arial" w:eastAsia="Calibri" w:hAnsi="Arial" w:cs="Arial"/>
          <w:i/>
          <w:sz w:val="24"/>
          <w:szCs w:val="24"/>
        </w:rPr>
      </w:pPr>
    </w:p>
    <w:p w14:paraId="158531DC"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Corte Constitucional, Comunicado de Prensa del 6 de junio de 2019.</w:t>
      </w:r>
    </w:p>
    <w:p w14:paraId="31D68164" w14:textId="77777777" w:rsidR="00B61122" w:rsidRPr="00AF43B7" w:rsidRDefault="00B61122" w:rsidP="00F55092">
      <w:pPr>
        <w:pStyle w:val="Prrafodelista"/>
        <w:spacing w:after="0" w:line="240" w:lineRule="auto"/>
        <w:jc w:val="both"/>
        <w:rPr>
          <w:rFonts w:ascii="Arial" w:hAnsi="Arial" w:cs="Arial"/>
          <w:i/>
          <w:sz w:val="24"/>
          <w:szCs w:val="24"/>
        </w:rPr>
      </w:pPr>
    </w:p>
    <w:p w14:paraId="0D2EA336"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British Broadcasting Corporation BBC, Cuáles son las sustancias más adictivas del mundo y qué le hacen a nuestro cerebro, recuperado de https://www.bbc.com/mundo/noticias-46877409</w:t>
      </w:r>
    </w:p>
    <w:p w14:paraId="513805D7" w14:textId="77777777" w:rsidR="00B61122" w:rsidRPr="00AF43B7" w:rsidRDefault="00B61122" w:rsidP="00F55092">
      <w:pPr>
        <w:pStyle w:val="Prrafodelista"/>
        <w:spacing w:after="0" w:line="240" w:lineRule="auto"/>
        <w:jc w:val="both"/>
        <w:rPr>
          <w:rFonts w:ascii="Arial" w:hAnsi="Arial" w:cs="Arial"/>
          <w:i/>
          <w:sz w:val="24"/>
          <w:szCs w:val="24"/>
          <w:u w:val="single"/>
        </w:rPr>
      </w:pPr>
    </w:p>
    <w:p w14:paraId="6D44DDEC" w14:textId="77777777" w:rsidR="00B61122" w:rsidRPr="00AF43B7" w:rsidRDefault="00B61122" w:rsidP="00F55092">
      <w:pPr>
        <w:pStyle w:val="Prrafodelista"/>
        <w:numPr>
          <w:ilvl w:val="0"/>
          <w:numId w:val="33"/>
        </w:numPr>
        <w:spacing w:after="0" w:line="240" w:lineRule="auto"/>
        <w:jc w:val="both"/>
        <w:rPr>
          <w:rStyle w:val="Hipervnculo"/>
          <w:rFonts w:ascii="Arial" w:hAnsi="Arial" w:cs="Arial"/>
          <w:i/>
          <w:color w:val="auto"/>
          <w:sz w:val="24"/>
          <w:szCs w:val="24"/>
        </w:rPr>
      </w:pPr>
      <w:r w:rsidRPr="00AF43B7">
        <w:rPr>
          <w:rFonts w:ascii="Arial" w:hAnsi="Arial" w:cs="Arial"/>
          <w:i/>
          <w:sz w:val="24"/>
          <w:szCs w:val="24"/>
        </w:rPr>
        <w:t xml:space="preserve">DANE. Estimaciones De Población 1985-2005 Y Proyecciones De Población 2005-2020 Nacional y Departamental Desagregado por Área, Sexo Y Grupos Quinquenales De Edad. Recuperado de: </w:t>
      </w:r>
      <w:hyperlink r:id="rId28" w:anchor="cuantos00" w:history="1">
        <w:r w:rsidRPr="00AF43B7">
          <w:rPr>
            <w:rStyle w:val="Hipervnculo"/>
            <w:rFonts w:ascii="Arial" w:hAnsi="Arial" w:cs="Arial"/>
            <w:i/>
            <w:color w:val="auto"/>
            <w:sz w:val="24"/>
            <w:szCs w:val="24"/>
            <w:u w:val="none"/>
          </w:rPr>
          <w:t>https://sitios.dane.gov.co/cnpv-presentacion/src/#cuantos00</w:t>
        </w:r>
      </w:hyperlink>
    </w:p>
    <w:p w14:paraId="06029841" w14:textId="77777777" w:rsidR="00B61122" w:rsidRPr="00AF43B7" w:rsidRDefault="00B61122" w:rsidP="00F55092">
      <w:pPr>
        <w:pStyle w:val="Prrafodelista"/>
        <w:spacing w:after="0" w:line="240" w:lineRule="auto"/>
        <w:jc w:val="both"/>
        <w:rPr>
          <w:rStyle w:val="Hipervnculo"/>
          <w:rFonts w:ascii="Arial" w:hAnsi="Arial" w:cs="Arial"/>
          <w:i/>
          <w:color w:val="auto"/>
          <w:sz w:val="24"/>
          <w:szCs w:val="24"/>
        </w:rPr>
      </w:pPr>
    </w:p>
    <w:p w14:paraId="2C97B049"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52529C9C" w14:textId="77777777" w:rsidR="00B61122" w:rsidRPr="00AF43B7" w:rsidRDefault="00B61122" w:rsidP="00F55092">
      <w:pPr>
        <w:pStyle w:val="Prrafodelista"/>
        <w:spacing w:after="0" w:line="240" w:lineRule="auto"/>
        <w:jc w:val="both"/>
        <w:rPr>
          <w:rFonts w:ascii="Arial" w:hAnsi="Arial" w:cs="Arial"/>
          <w:i/>
          <w:sz w:val="24"/>
          <w:szCs w:val="24"/>
        </w:rPr>
      </w:pPr>
    </w:p>
    <w:p w14:paraId="464F0070" w14:textId="77777777" w:rsidR="00B61122" w:rsidRPr="00AF43B7" w:rsidRDefault="00B61122" w:rsidP="00F55092">
      <w:pPr>
        <w:pStyle w:val="Textonotapie"/>
        <w:numPr>
          <w:ilvl w:val="0"/>
          <w:numId w:val="33"/>
        </w:numPr>
        <w:jc w:val="both"/>
        <w:rPr>
          <w:rFonts w:ascii="Arial" w:hAnsi="Arial" w:cs="Arial"/>
          <w:i/>
          <w:sz w:val="24"/>
          <w:szCs w:val="24"/>
          <w:lang w:val="en-US"/>
        </w:rPr>
      </w:pPr>
      <w:r w:rsidRPr="00AF43B7">
        <w:rPr>
          <w:rFonts w:ascii="Arial" w:hAnsi="Arial" w:cs="Arial"/>
          <w:i/>
          <w:sz w:val="24"/>
          <w:szCs w:val="24"/>
          <w:lang w:val="en-US"/>
        </w:rPr>
        <w:t xml:space="preserve">Drug Policy Alliance. 2018. From Prohibition to Progress: A Status Report on Marijuana Legalization. What We Know About Marijuana Legalization in Eight States and Washington, D.C. Recuperado de: </w:t>
      </w:r>
      <w:hyperlink r:id="rId29" w:history="1">
        <w:r w:rsidRPr="00AF43B7">
          <w:rPr>
            <w:rStyle w:val="Hipervnculo"/>
            <w:rFonts w:ascii="Arial" w:hAnsi="Arial" w:cs="Arial"/>
            <w:i/>
            <w:color w:val="auto"/>
            <w:sz w:val="24"/>
            <w:szCs w:val="24"/>
            <w:u w:val="none"/>
            <w:lang w:val="en-US"/>
          </w:rPr>
          <w:t>http://fileserver.idpc.net/library/dpa_marijuana_legalization_report_v8_0.pdf</w:t>
        </w:r>
      </w:hyperlink>
      <w:r w:rsidRPr="00AF43B7">
        <w:rPr>
          <w:rFonts w:ascii="Arial" w:hAnsi="Arial" w:cs="Arial"/>
          <w:i/>
          <w:sz w:val="24"/>
          <w:szCs w:val="24"/>
          <w:lang w:val="en-US"/>
        </w:rPr>
        <w:t xml:space="preserve">    </w:t>
      </w:r>
    </w:p>
    <w:p w14:paraId="5FD09483" w14:textId="77777777" w:rsidR="00B61122" w:rsidRPr="00AF43B7" w:rsidRDefault="00B61122" w:rsidP="00F55092">
      <w:pPr>
        <w:pStyle w:val="Textonotapie"/>
        <w:ind w:left="720"/>
        <w:jc w:val="both"/>
        <w:rPr>
          <w:rFonts w:ascii="Arial" w:hAnsi="Arial" w:cs="Arial"/>
          <w:i/>
          <w:sz w:val="24"/>
          <w:szCs w:val="24"/>
          <w:lang w:val="en-US"/>
        </w:rPr>
      </w:pPr>
    </w:p>
    <w:p w14:paraId="5FDE5EE6" w14:textId="77777777" w:rsidR="00B61122" w:rsidRPr="00AF43B7" w:rsidRDefault="00B61122" w:rsidP="00F55092">
      <w:pPr>
        <w:pStyle w:val="Textonotapie"/>
        <w:numPr>
          <w:ilvl w:val="0"/>
          <w:numId w:val="33"/>
        </w:numPr>
        <w:jc w:val="both"/>
        <w:rPr>
          <w:rFonts w:ascii="Arial" w:hAnsi="Arial" w:cs="Arial"/>
          <w:i/>
          <w:sz w:val="24"/>
          <w:szCs w:val="24"/>
        </w:rPr>
      </w:pPr>
      <w:r w:rsidRPr="00AF43B7">
        <w:rPr>
          <w:rFonts w:ascii="Arial" w:hAnsi="Arial" w:cs="Arial"/>
          <w:i/>
          <w:sz w:val="24"/>
          <w:szCs w:val="24"/>
        </w:rPr>
        <w:t>El Observador. 2018. El jueves aumenta el precio de la marihuana a $200. Recuperado de: https://www.elobservador.com.uy/nota/el-jueves-aumenta-el-precio-de-la-marihuana-a-200--201813019260.</w:t>
      </w:r>
    </w:p>
    <w:p w14:paraId="70EB7A50" w14:textId="77777777" w:rsidR="00B61122" w:rsidRPr="00AF43B7" w:rsidRDefault="00B61122" w:rsidP="00F55092">
      <w:pPr>
        <w:pStyle w:val="Textonotapie"/>
        <w:jc w:val="both"/>
        <w:rPr>
          <w:rFonts w:ascii="Arial" w:hAnsi="Arial" w:cs="Arial"/>
          <w:i/>
          <w:sz w:val="24"/>
          <w:szCs w:val="24"/>
        </w:rPr>
      </w:pPr>
    </w:p>
    <w:p w14:paraId="14C04A53"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lang w:val="en-US"/>
        </w:rPr>
        <w:t xml:space="preserve">German Lopez. </w:t>
      </w:r>
      <w:hyperlink r:id="rId30" w:tgtFrame="_blank" w:history="1">
        <w:r w:rsidRPr="00AF43B7">
          <w:rPr>
            <w:rFonts w:ascii="Arial" w:hAnsi="Arial" w:cs="Arial"/>
            <w:i/>
            <w:sz w:val="24"/>
            <w:szCs w:val="24"/>
            <w:lang w:val="en-US"/>
          </w:rPr>
          <w:t xml:space="preserve">The three deathliest drugs in America. </w:t>
        </w:r>
        <w:r w:rsidRPr="00AF43B7">
          <w:rPr>
            <w:rFonts w:ascii="Arial" w:hAnsi="Arial" w:cs="Arial"/>
            <w:i/>
            <w:sz w:val="24"/>
            <w:szCs w:val="24"/>
          </w:rPr>
          <w:t>Vox 2017</w:t>
        </w:r>
      </w:hyperlink>
      <w:r w:rsidRPr="00AF43B7">
        <w:rPr>
          <w:rFonts w:ascii="Arial" w:hAnsi="Arial" w:cs="Arial"/>
          <w:i/>
          <w:sz w:val="24"/>
          <w:szCs w:val="24"/>
        </w:rPr>
        <w:t>.</w:t>
      </w:r>
    </w:p>
    <w:p w14:paraId="2FEFFDFD" w14:textId="77777777" w:rsidR="00B61122" w:rsidRPr="00AF43B7" w:rsidRDefault="00B61122" w:rsidP="00F55092">
      <w:pPr>
        <w:pStyle w:val="Prrafodelista"/>
        <w:spacing w:after="0" w:line="240" w:lineRule="auto"/>
        <w:jc w:val="both"/>
        <w:rPr>
          <w:rFonts w:ascii="Arial" w:hAnsi="Arial" w:cs="Arial"/>
          <w:i/>
          <w:sz w:val="24"/>
          <w:szCs w:val="24"/>
        </w:rPr>
      </w:pPr>
    </w:p>
    <w:p w14:paraId="24EF905A"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iCs/>
          <w:sz w:val="24"/>
          <w:szCs w:val="24"/>
        </w:rPr>
        <w:t>International Drug Policy Consortium, 2019. La OMS cambia su posición con respecto a la marihuana, recuperado de: https://idpc.net/es/alerts/2019/02/la-OMS-cambia-su-posicion#.XTS1wX3xB0k.whatsapp.</w:t>
      </w:r>
    </w:p>
    <w:p w14:paraId="1581A470" w14:textId="77777777" w:rsidR="00B61122" w:rsidRPr="00AF43B7" w:rsidRDefault="00B61122" w:rsidP="00F55092">
      <w:pPr>
        <w:pStyle w:val="Prrafodelista"/>
        <w:spacing w:after="0" w:line="240" w:lineRule="auto"/>
        <w:jc w:val="both"/>
        <w:rPr>
          <w:rFonts w:ascii="Arial" w:hAnsi="Arial" w:cs="Arial"/>
          <w:i/>
          <w:sz w:val="24"/>
          <w:szCs w:val="24"/>
        </w:rPr>
      </w:pPr>
    </w:p>
    <w:p w14:paraId="298E2B10"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lang w:val="en-US"/>
        </w:rPr>
        <w:t xml:space="preserve">Leslie King and Lawrence Phillips. “Drug harms in the UK: a multicriteria decision analysis”. </w:t>
      </w:r>
      <w:r w:rsidRPr="00AF43B7">
        <w:rPr>
          <w:rFonts w:ascii="Arial" w:hAnsi="Arial" w:cs="Arial"/>
          <w:i/>
          <w:sz w:val="24"/>
          <w:szCs w:val="24"/>
        </w:rPr>
        <w:t>David Nutt. The Lancet, 2010.</w:t>
      </w:r>
    </w:p>
    <w:p w14:paraId="4E16DE80" w14:textId="77777777" w:rsidR="00B61122" w:rsidRPr="00AF43B7" w:rsidRDefault="00B61122" w:rsidP="00F55092">
      <w:pPr>
        <w:pStyle w:val="Prrafodelista"/>
        <w:spacing w:after="0" w:line="240" w:lineRule="auto"/>
        <w:jc w:val="both"/>
        <w:rPr>
          <w:rFonts w:ascii="Arial" w:eastAsia="Calibri" w:hAnsi="Arial" w:cs="Arial"/>
          <w:i/>
          <w:sz w:val="24"/>
          <w:szCs w:val="24"/>
        </w:rPr>
      </w:pPr>
    </w:p>
    <w:p w14:paraId="5E62BE99" w14:textId="77777777" w:rsidR="00B61122" w:rsidRPr="00AF43B7" w:rsidRDefault="00B61122" w:rsidP="00F55092">
      <w:pPr>
        <w:pStyle w:val="Prrafodelista"/>
        <w:numPr>
          <w:ilvl w:val="0"/>
          <w:numId w:val="33"/>
        </w:numPr>
        <w:spacing w:after="0" w:line="240" w:lineRule="auto"/>
        <w:jc w:val="both"/>
        <w:rPr>
          <w:rFonts w:ascii="Arial" w:eastAsia="Calibri" w:hAnsi="Arial" w:cs="Arial"/>
          <w:i/>
          <w:sz w:val="24"/>
          <w:szCs w:val="24"/>
        </w:rPr>
      </w:pPr>
      <w:r w:rsidRPr="00AF43B7">
        <w:rPr>
          <w:rFonts w:ascii="Arial" w:eastAsia="Calibri" w:hAnsi="Arial" w:cs="Arial"/>
          <w:i/>
          <w:sz w:val="24"/>
          <w:szCs w:val="24"/>
        </w:rPr>
        <w:t>Medina-Mora, Real, Villatoro, &amp; Natera, “Las drogas y la salud pública: ¿hacia dónde vamos?”, 2013; página 68</w:t>
      </w:r>
    </w:p>
    <w:p w14:paraId="0D36D538" w14:textId="77777777" w:rsidR="00B61122" w:rsidRPr="00AF43B7" w:rsidRDefault="00B61122" w:rsidP="00F55092">
      <w:pPr>
        <w:pStyle w:val="Prrafodelista"/>
        <w:spacing w:after="0" w:line="240" w:lineRule="auto"/>
        <w:jc w:val="both"/>
        <w:rPr>
          <w:rFonts w:ascii="Arial" w:eastAsia="Calibri" w:hAnsi="Arial" w:cs="Arial"/>
          <w:i/>
          <w:sz w:val="24"/>
          <w:szCs w:val="24"/>
        </w:rPr>
      </w:pPr>
    </w:p>
    <w:p w14:paraId="0B9E6C76" w14:textId="77777777" w:rsidR="00B61122" w:rsidRPr="00AF43B7" w:rsidRDefault="00B61122" w:rsidP="00F55092">
      <w:pPr>
        <w:pStyle w:val="Prrafodelista"/>
        <w:numPr>
          <w:ilvl w:val="0"/>
          <w:numId w:val="33"/>
        </w:numPr>
        <w:spacing w:after="0" w:line="240" w:lineRule="auto"/>
        <w:jc w:val="both"/>
        <w:rPr>
          <w:rFonts w:ascii="Arial" w:eastAsia="Calibri" w:hAnsi="Arial" w:cs="Arial"/>
          <w:i/>
          <w:sz w:val="24"/>
          <w:szCs w:val="24"/>
        </w:rPr>
      </w:pPr>
      <w:r w:rsidRPr="00AF43B7">
        <w:rPr>
          <w:rFonts w:ascii="Arial" w:eastAsia="Calibri" w:hAnsi="Arial" w:cs="Arial"/>
          <w:i/>
          <w:sz w:val="24"/>
          <w:szCs w:val="24"/>
        </w:rPr>
        <w:t>Ministerio de Salud, Dirección de Promoción y prevención,”El consumo de SPA en colombia” 2015.</w:t>
      </w:r>
    </w:p>
    <w:p w14:paraId="57B3974C" w14:textId="77777777" w:rsidR="00B61122" w:rsidRPr="00AF43B7" w:rsidRDefault="00B61122" w:rsidP="00F55092">
      <w:pPr>
        <w:pStyle w:val="Textonotapie"/>
        <w:numPr>
          <w:ilvl w:val="0"/>
          <w:numId w:val="33"/>
        </w:numPr>
        <w:jc w:val="both"/>
        <w:rPr>
          <w:rFonts w:ascii="Arial" w:hAnsi="Arial" w:cs="Arial"/>
          <w:i/>
          <w:sz w:val="24"/>
          <w:szCs w:val="24"/>
        </w:rPr>
      </w:pPr>
      <w:r w:rsidRPr="00AF43B7">
        <w:rPr>
          <w:rFonts w:ascii="Arial" w:hAnsi="Arial" w:cs="Arial"/>
          <w:i/>
          <w:sz w:val="24"/>
          <w:szCs w:val="24"/>
          <w:lang w:val="en-US"/>
        </w:rPr>
        <w:t xml:space="preserve">Moody´s. 2018. Recreational Marijuana Tax Revenues are Marginal Credit Positives. </w:t>
      </w:r>
      <w:r w:rsidRPr="00AF43B7">
        <w:rPr>
          <w:rFonts w:ascii="Arial" w:hAnsi="Arial" w:cs="Arial"/>
          <w:i/>
          <w:sz w:val="24"/>
          <w:szCs w:val="24"/>
        </w:rPr>
        <w:t xml:space="preserve">Recuperado de: </w:t>
      </w:r>
      <w:r w:rsidRPr="00AF43B7">
        <w:rPr>
          <w:rStyle w:val="Hipervnculo"/>
          <w:rFonts w:ascii="Arial" w:hAnsi="Arial" w:cs="Arial"/>
          <w:i/>
          <w:color w:val="auto"/>
          <w:sz w:val="24"/>
          <w:szCs w:val="24"/>
        </w:rPr>
        <w:t>https://www.capitaliq.com/CIQDotNet/CreditResearch/RenderArticle.aspx?articleId=2170361&amp;SctArtId=467339&amp;from=CM&amp;nsl_code=LIME&amp;sourceObjectId=10882078&amp;sourceRevId=3&amp;fee_ind=N&amp;exp_date=20290221-02:28:22</w:t>
      </w:r>
      <w:r w:rsidRPr="00AF43B7">
        <w:rPr>
          <w:rFonts w:ascii="Arial" w:hAnsi="Arial" w:cs="Arial"/>
          <w:i/>
          <w:sz w:val="24"/>
          <w:szCs w:val="24"/>
        </w:rPr>
        <w:t xml:space="preserve"> </w:t>
      </w:r>
    </w:p>
    <w:p w14:paraId="4CE6A042" w14:textId="77777777" w:rsidR="00B61122" w:rsidRPr="001A6F20" w:rsidRDefault="00B61122" w:rsidP="001A6F20">
      <w:pPr>
        <w:jc w:val="both"/>
        <w:rPr>
          <w:rFonts w:ascii="Arial" w:hAnsi="Arial" w:cs="Arial"/>
          <w:i/>
          <w:sz w:val="24"/>
          <w:szCs w:val="24"/>
          <w:lang w:val="en-US"/>
        </w:rPr>
      </w:pPr>
    </w:p>
    <w:p w14:paraId="469EE7DB"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iCs/>
          <w:sz w:val="24"/>
          <w:szCs w:val="24"/>
        </w:rPr>
        <w:t>Roberto Serpa Flórez, Psiquiatría médica y jurídica, 2007.</w:t>
      </w:r>
    </w:p>
    <w:p w14:paraId="59319B44" w14:textId="77777777" w:rsidR="00B61122" w:rsidRPr="00AF43B7" w:rsidRDefault="00B61122" w:rsidP="00F55092">
      <w:pPr>
        <w:pStyle w:val="Prrafodelista"/>
        <w:spacing w:after="0" w:line="240" w:lineRule="auto"/>
        <w:jc w:val="both"/>
        <w:rPr>
          <w:rFonts w:ascii="Arial" w:hAnsi="Arial" w:cs="Arial"/>
          <w:i/>
          <w:sz w:val="24"/>
          <w:szCs w:val="24"/>
        </w:rPr>
      </w:pPr>
    </w:p>
    <w:p w14:paraId="5F1E7052"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Roberto Solórzano Niño, Medicina Lega, criminalística y toxicología para abogados, 1996.</w:t>
      </w:r>
    </w:p>
    <w:p w14:paraId="2DC7D3DB" w14:textId="77777777" w:rsidR="00B61122" w:rsidRPr="00AF43B7" w:rsidRDefault="00B61122" w:rsidP="00F55092">
      <w:pPr>
        <w:pStyle w:val="Prrafodelista"/>
        <w:spacing w:after="0" w:line="240" w:lineRule="auto"/>
        <w:jc w:val="both"/>
        <w:rPr>
          <w:rFonts w:ascii="Arial" w:hAnsi="Arial" w:cs="Arial"/>
          <w:i/>
          <w:sz w:val="24"/>
          <w:szCs w:val="24"/>
        </w:rPr>
      </w:pPr>
    </w:p>
    <w:p w14:paraId="661738C5"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Rodrigo Uprimny, “Una oportunidad perdida”, Dejusticia. 2019</w:t>
      </w:r>
    </w:p>
    <w:p w14:paraId="23E9D0F5" w14:textId="77777777" w:rsidR="00B61122" w:rsidRPr="00AF43B7" w:rsidRDefault="00B61122" w:rsidP="00F55092">
      <w:pPr>
        <w:pStyle w:val="Prrafodelista"/>
        <w:spacing w:after="0" w:line="240" w:lineRule="auto"/>
        <w:jc w:val="both"/>
        <w:rPr>
          <w:rFonts w:ascii="Arial" w:hAnsi="Arial" w:cs="Arial"/>
          <w:i/>
          <w:sz w:val="24"/>
          <w:szCs w:val="24"/>
        </w:rPr>
      </w:pPr>
    </w:p>
    <w:p w14:paraId="5C02165A"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rPr>
        <w:t>UNODC, Estudio Nacional de Consumo de Sustancias Psicoactivas en Colombia 2013 – Informe Final, 2013, recuperado de: https://www.unodc.org/documents/colombia/2014/Julio/Estudio_de_Consumo_UNODC.pdf</w:t>
      </w:r>
    </w:p>
    <w:p w14:paraId="5720623F" w14:textId="77777777" w:rsidR="00B61122" w:rsidRPr="00AF43B7" w:rsidRDefault="00B61122" w:rsidP="00F55092">
      <w:pPr>
        <w:pStyle w:val="Prrafodelista"/>
        <w:spacing w:after="0" w:line="240" w:lineRule="auto"/>
        <w:jc w:val="both"/>
        <w:rPr>
          <w:rFonts w:ascii="Arial" w:hAnsi="Arial" w:cs="Arial"/>
          <w:i/>
          <w:sz w:val="24"/>
          <w:szCs w:val="24"/>
        </w:rPr>
      </w:pPr>
    </w:p>
    <w:p w14:paraId="1065E5C7"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rPr>
      </w:pPr>
      <w:r w:rsidRPr="00AF43B7">
        <w:rPr>
          <w:rFonts w:ascii="Arial" w:hAnsi="Arial" w:cs="Arial"/>
          <w:i/>
          <w:sz w:val="24"/>
          <w:szCs w:val="24"/>
          <w:lang w:val="en-US"/>
        </w:rPr>
        <w:t xml:space="preserve">Washington Post.  2016. Justin Trudeau may have made the best case for legal pot ever. </w:t>
      </w:r>
      <w:r w:rsidRPr="00AF43B7">
        <w:rPr>
          <w:rFonts w:ascii="Arial" w:hAnsi="Arial" w:cs="Arial"/>
          <w:i/>
          <w:sz w:val="24"/>
          <w:szCs w:val="24"/>
        </w:rPr>
        <w:t>Recuperado de: https://www.washingtonpost.com/news/wonk/wp/2016/06/10/why-people-who-hate-marijuana-should-legalize-it-anyway-according-to-justin-trudeau/?noredirect=on&amp;utm_term=.75678dd510b9</w:t>
      </w:r>
    </w:p>
    <w:p w14:paraId="302CC36F" w14:textId="77777777" w:rsidR="00B61122" w:rsidRPr="00AF43B7" w:rsidRDefault="00B61122" w:rsidP="00F55092">
      <w:pPr>
        <w:pStyle w:val="Prrafodelista"/>
        <w:spacing w:after="0" w:line="240" w:lineRule="auto"/>
        <w:jc w:val="both"/>
        <w:rPr>
          <w:rFonts w:ascii="Arial" w:hAnsi="Arial" w:cs="Arial"/>
          <w:i/>
          <w:sz w:val="24"/>
          <w:szCs w:val="24"/>
          <w:u w:val="single"/>
        </w:rPr>
      </w:pPr>
    </w:p>
    <w:p w14:paraId="40523F62" w14:textId="77777777" w:rsidR="00B61122" w:rsidRPr="00AF43B7" w:rsidRDefault="00B61122" w:rsidP="00F55092">
      <w:pPr>
        <w:pStyle w:val="Prrafodelista"/>
        <w:numPr>
          <w:ilvl w:val="0"/>
          <w:numId w:val="33"/>
        </w:numPr>
        <w:spacing w:after="0" w:line="240" w:lineRule="auto"/>
        <w:jc w:val="both"/>
        <w:rPr>
          <w:rFonts w:ascii="Arial" w:hAnsi="Arial" w:cs="Arial"/>
          <w:i/>
          <w:sz w:val="24"/>
          <w:szCs w:val="24"/>
          <w:u w:val="single"/>
        </w:rPr>
      </w:pPr>
      <w:r w:rsidRPr="00AF43B7">
        <w:rPr>
          <w:rFonts w:ascii="Arial" w:hAnsi="Arial" w:cs="Arial"/>
          <w:i/>
          <w:sz w:val="24"/>
          <w:szCs w:val="24"/>
          <w:lang w:val="en-US"/>
        </w:rPr>
        <w:t xml:space="preserve">World Prison Brief, Institute for Criminal Policy Research. </w:t>
      </w:r>
      <w:r w:rsidRPr="00AF43B7">
        <w:rPr>
          <w:rFonts w:ascii="Arial" w:hAnsi="Arial" w:cs="Arial"/>
          <w:i/>
          <w:sz w:val="24"/>
          <w:szCs w:val="24"/>
        </w:rPr>
        <w:t xml:space="preserve">Recuperado de: </w:t>
      </w:r>
      <w:r w:rsidRPr="00AF43B7">
        <w:rPr>
          <w:rStyle w:val="Hipervnculo"/>
          <w:rFonts w:ascii="Arial" w:hAnsi="Arial" w:cs="Arial"/>
          <w:i/>
          <w:color w:val="auto"/>
          <w:sz w:val="24"/>
          <w:szCs w:val="24"/>
        </w:rPr>
        <w:t>http://www.prisonstudies.org/highest-to-lowest/prison-population-total</w:t>
      </w:r>
      <w:r w:rsidRPr="00AF43B7">
        <w:rPr>
          <w:rFonts w:ascii="Arial" w:hAnsi="Arial" w:cs="Arial"/>
          <w:i/>
          <w:sz w:val="24"/>
          <w:szCs w:val="24"/>
        </w:rPr>
        <w:t xml:space="preserve"> y </w:t>
      </w:r>
      <w:hyperlink r:id="rId31" w:history="1">
        <w:r w:rsidRPr="00AF43B7">
          <w:rPr>
            <w:rStyle w:val="Hipervnculo"/>
            <w:rFonts w:ascii="Arial" w:hAnsi="Arial" w:cs="Arial"/>
            <w:i/>
            <w:color w:val="auto"/>
            <w:sz w:val="24"/>
            <w:szCs w:val="24"/>
            <w:u w:val="none"/>
          </w:rPr>
          <w:t>http://www.prisonstudies.org/country/colombia</w:t>
        </w:r>
      </w:hyperlink>
    </w:p>
    <w:p w14:paraId="5F26A03A" w14:textId="77777777" w:rsidR="00FB38D7" w:rsidRDefault="00FB38D7" w:rsidP="00F55092">
      <w:pPr>
        <w:ind w:left="284" w:hanging="284"/>
        <w:jc w:val="both"/>
        <w:rPr>
          <w:rFonts w:ascii="Arial" w:eastAsia="Calibri" w:hAnsi="Arial" w:cs="Arial"/>
          <w:i/>
          <w:sz w:val="24"/>
          <w:szCs w:val="24"/>
        </w:rPr>
      </w:pPr>
    </w:p>
    <w:p w14:paraId="05E30CCE" w14:textId="77777777" w:rsidR="00AF43B7" w:rsidRDefault="00AF43B7" w:rsidP="00F55092">
      <w:pPr>
        <w:ind w:left="284" w:hanging="284"/>
        <w:jc w:val="both"/>
        <w:rPr>
          <w:rFonts w:ascii="Arial" w:eastAsia="Calibri" w:hAnsi="Arial" w:cs="Arial"/>
          <w:i/>
          <w:sz w:val="24"/>
          <w:szCs w:val="24"/>
        </w:rPr>
      </w:pPr>
    </w:p>
    <w:p w14:paraId="038849C4" w14:textId="52CA3890" w:rsidR="00AF43B7" w:rsidRPr="00AF43B7" w:rsidRDefault="00AF43B7" w:rsidP="00F55092">
      <w:pPr>
        <w:ind w:left="284" w:hanging="284"/>
        <w:jc w:val="both"/>
        <w:rPr>
          <w:rFonts w:ascii="Arial" w:eastAsia="Calibri" w:hAnsi="Arial" w:cs="Arial"/>
          <w:i/>
          <w:sz w:val="24"/>
          <w:szCs w:val="24"/>
        </w:rPr>
        <w:sectPr w:rsidR="00AF43B7" w:rsidRPr="00AF43B7" w:rsidSect="00267BD5">
          <w:headerReference w:type="default" r:id="rId32"/>
          <w:footerReference w:type="default" r:id="rId33"/>
          <w:pgSz w:w="12240" w:h="15840" w:code="1"/>
          <w:pgMar w:top="1417" w:right="1701" w:bottom="1417" w:left="1701" w:header="680" w:footer="680" w:gutter="0"/>
          <w:pgNumType w:start="1"/>
          <w:cols w:space="720"/>
          <w:docGrid w:linePitch="299"/>
        </w:sectPr>
      </w:pPr>
    </w:p>
    <w:p w14:paraId="33090F63" w14:textId="319E9AAF" w:rsidR="004151CA" w:rsidRPr="00AF43B7" w:rsidRDefault="004151CA" w:rsidP="00F55092">
      <w:pPr>
        <w:pBdr>
          <w:top w:val="nil"/>
          <w:left w:val="nil"/>
          <w:bottom w:val="nil"/>
          <w:right w:val="nil"/>
          <w:between w:val="nil"/>
        </w:pBdr>
        <w:rPr>
          <w:rFonts w:ascii="Arial" w:eastAsia="Calibri" w:hAnsi="Arial" w:cs="Arial"/>
          <w:i/>
          <w:sz w:val="24"/>
          <w:szCs w:val="24"/>
        </w:rPr>
        <w:sectPr w:rsidR="004151CA" w:rsidRPr="00AF43B7">
          <w:type w:val="continuous"/>
          <w:pgSz w:w="12240" w:h="15840"/>
          <w:pgMar w:top="1940" w:right="1580" w:bottom="2080" w:left="2905" w:header="708" w:footer="1893" w:gutter="0"/>
          <w:cols w:space="720"/>
        </w:sectPr>
      </w:pPr>
    </w:p>
    <w:p w14:paraId="1C1B9C75" w14:textId="20248AD4" w:rsidR="00A14815" w:rsidRPr="00AF43B7" w:rsidRDefault="00A14815" w:rsidP="00F55092">
      <w:pPr>
        <w:widowControl/>
        <w:pBdr>
          <w:top w:val="nil"/>
          <w:left w:val="nil"/>
          <w:bottom w:val="nil"/>
          <w:right w:val="nil"/>
          <w:between w:val="nil"/>
        </w:pBdr>
        <w:ind w:left="-1080"/>
        <w:jc w:val="both"/>
        <w:rPr>
          <w:rFonts w:ascii="Arial" w:eastAsia="Calibri" w:hAnsi="Arial" w:cs="Arial"/>
          <w:color w:val="000000"/>
          <w:sz w:val="24"/>
          <w:szCs w:val="24"/>
        </w:rPr>
      </w:pPr>
    </w:p>
    <w:sectPr w:rsidR="00A14815" w:rsidRPr="00AF43B7">
      <w:type w:val="continuous"/>
      <w:pgSz w:w="12240" w:h="15840"/>
      <w:pgMar w:top="1940" w:right="1580" w:bottom="2080" w:left="2905" w:header="708" w:footer="18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F0F01" w14:textId="77777777" w:rsidR="00164C88" w:rsidRDefault="00164C88">
      <w:r>
        <w:separator/>
      </w:r>
    </w:p>
  </w:endnote>
  <w:endnote w:type="continuationSeparator" w:id="0">
    <w:p w14:paraId="79BFFCE8" w14:textId="77777777" w:rsidR="00164C88" w:rsidRDefault="0016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7DA46A42" w14:textId="2530943A" w:rsidR="00164C88" w:rsidRDefault="00164C88" w:rsidP="00B90EBD">
            <w:pPr>
              <w:pStyle w:val="Piedepgina"/>
              <w:jc w:val="right"/>
            </w:pPr>
            <w:r>
              <w:rPr>
                <w:noProof/>
              </w:rPr>
              <w:drawing>
                <wp:anchor distT="0" distB="0" distL="114300" distR="114300" simplePos="0" relativeHeight="251661312" behindDoc="0" locked="0" layoutInCell="1" hidden="0" allowOverlap="1" wp14:anchorId="1CDFD624" wp14:editId="3E382261">
                  <wp:simplePos x="0" y="0"/>
                  <wp:positionH relativeFrom="column">
                    <wp:posOffset>1707814</wp:posOffset>
                  </wp:positionH>
                  <wp:positionV relativeFrom="paragraph">
                    <wp:posOffset>-41275</wp:posOffset>
                  </wp:positionV>
                  <wp:extent cx="1704975" cy="646149"/>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04975" cy="646149"/>
                          </a:xfrm>
                          <a:prstGeom prst="rect">
                            <a:avLst/>
                          </a:prstGeom>
                          <a:ln/>
                        </pic:spPr>
                      </pic:pic>
                    </a:graphicData>
                  </a:graphic>
                </wp:anchor>
              </w:drawing>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7414C">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414C">
              <w:rPr>
                <w:b/>
                <w:bCs/>
                <w:noProof/>
              </w:rPr>
              <w:t>29</w:t>
            </w:r>
            <w:r>
              <w:rPr>
                <w:b/>
                <w:bCs/>
                <w:sz w:val="24"/>
                <w:szCs w:val="24"/>
              </w:rPr>
              <w:fldChar w:fldCharType="end"/>
            </w:r>
          </w:p>
        </w:sdtContent>
      </w:sdt>
    </w:sdtContent>
  </w:sdt>
  <w:p w14:paraId="5D177BA6" w14:textId="2B8DE29F" w:rsidR="00164C88" w:rsidRDefault="00164C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4824" w14:textId="77777777" w:rsidR="00164C88" w:rsidRDefault="00164C88">
      <w:r>
        <w:separator/>
      </w:r>
    </w:p>
  </w:footnote>
  <w:footnote w:type="continuationSeparator" w:id="0">
    <w:p w14:paraId="70B8C743" w14:textId="77777777" w:rsidR="00164C88" w:rsidRDefault="00164C88">
      <w:r>
        <w:continuationSeparator/>
      </w:r>
    </w:p>
  </w:footnote>
  <w:footnote w:id="1">
    <w:p w14:paraId="0737E1FF" w14:textId="72BF5EE2" w:rsidR="00164C88" w:rsidRPr="00872387" w:rsidRDefault="00164C88">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eastAsia="Calibri" w:hAnsi="Times New Roman" w:cs="Times New Roman"/>
          <w:sz w:val="14"/>
          <w:szCs w:val="14"/>
        </w:rPr>
        <w:t>“</w:t>
      </w:r>
      <w:r w:rsidRPr="00872387">
        <w:rPr>
          <w:rFonts w:ascii="Times New Roman" w:eastAsia="Calibri" w:hAnsi="Times New Roman" w:cs="Times New Roman"/>
          <w:i/>
          <w:sz w:val="14"/>
          <w:szCs w:val="14"/>
        </w:rPr>
        <w:t>Por el cual se reforma el artículo 49 de la Constitución Política</w:t>
      </w:r>
      <w:r w:rsidRPr="00872387">
        <w:rPr>
          <w:rFonts w:ascii="Times New Roman" w:eastAsia="Calibri" w:hAnsi="Times New Roman" w:cs="Times New Roman"/>
          <w:sz w:val="14"/>
          <w:szCs w:val="14"/>
        </w:rPr>
        <w:t>.”</w:t>
      </w:r>
    </w:p>
  </w:footnote>
  <w:footnote w:id="2">
    <w:p w14:paraId="34C97EF6" w14:textId="77777777" w:rsidR="00164C88" w:rsidRPr="00872387" w:rsidRDefault="00164C88" w:rsidP="00F10075">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Roberto Serpa Flórez, Psiquiatría médica y jurídica, 2007.</w:t>
      </w:r>
    </w:p>
  </w:footnote>
  <w:footnote w:id="3">
    <w:p w14:paraId="3596F1AE" w14:textId="77777777" w:rsidR="00164C88" w:rsidRPr="00872387" w:rsidRDefault="00164C88" w:rsidP="00241DE6">
      <w:pPr>
        <w:pStyle w:val="Textonotapie"/>
        <w:jc w:val="both"/>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eastAsia="Calibri" w:hAnsi="Times New Roman" w:cs="Times New Roman"/>
          <w:i/>
          <w:iCs/>
          <w:sz w:val="14"/>
          <w:szCs w:val="14"/>
        </w:rPr>
        <w:t>(la categoría más restrictiva de la convención sobre drogas de 1961 que reúne las sustancias que se consideran particularmente dañinas y con beneficios médicos limitados).</w:t>
      </w:r>
    </w:p>
  </w:footnote>
  <w:footnote w:id="4">
    <w:p w14:paraId="7AC25D59" w14:textId="77777777" w:rsidR="00164C88" w:rsidRPr="00872387" w:rsidRDefault="00164C88" w:rsidP="00241DE6">
      <w:pPr>
        <w:pStyle w:val="Textonotapie"/>
        <w:jc w:val="both"/>
        <w:rPr>
          <w:rFonts w:ascii="Times New Roman" w:hAnsi="Times New Roman" w:cs="Times New Roman"/>
          <w:b/>
          <w:bCs/>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21FC8E09" w14:textId="77777777" w:rsidR="00164C88" w:rsidRPr="00872387" w:rsidRDefault="00164C88" w:rsidP="00F36280">
      <w:pPr>
        <w:jc w:val="both"/>
        <w:rPr>
          <w:i/>
          <w:sz w:val="14"/>
          <w:szCs w:val="14"/>
        </w:rPr>
      </w:pPr>
      <w:r w:rsidRPr="00872387">
        <w:rPr>
          <w:rStyle w:val="Refdenotaalpie"/>
          <w:i/>
          <w:sz w:val="14"/>
          <w:szCs w:val="14"/>
        </w:rPr>
        <w:footnoteRef/>
      </w:r>
      <w:r w:rsidRPr="00872387">
        <w:rPr>
          <w:i/>
          <w:sz w:val="14"/>
          <w:szCs w:val="14"/>
        </w:rPr>
        <w:t xml:space="preserve"> Corte Constitucional, Comunicado de Prensa del 6 de junio de 2019.</w:t>
      </w:r>
    </w:p>
  </w:footnote>
  <w:footnote w:id="6">
    <w:p w14:paraId="70E1A810"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7">
    <w:p w14:paraId="1BF961E1" w14:textId="77777777" w:rsidR="00164C88" w:rsidRPr="00872387" w:rsidRDefault="00164C88"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8">
    <w:p w14:paraId="492CB627" w14:textId="784DFFEE" w:rsidR="00164C88" w:rsidRPr="00872387" w:rsidRDefault="00164C88" w:rsidP="00F36280">
      <w:pPr>
        <w:pStyle w:val="Textonotapie"/>
        <w:jc w:val="both"/>
        <w:rPr>
          <w:rFonts w:ascii="Times New Roman" w:hAnsi="Times New Roman" w:cs="Times New Roman"/>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9">
    <w:p w14:paraId="5354BF99"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(Pp.1) Recuperado de: http://fileserver.idpc.net/library/dpa_marijuana_legalization_report_v8_0.pdf</w:t>
      </w:r>
    </w:p>
  </w:footnote>
  <w:footnote w:id="10">
    <w:p w14:paraId="75472AB8" w14:textId="5380A2A1" w:rsidR="00164C88" w:rsidRPr="00872387" w:rsidRDefault="00164C88"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11">
    <w:p w14:paraId="463EC264"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(Pp.2) Recuperado de: http://fileserver.idpc.net/library/dpa_marijuana_legalization_report_v8_0.pdf</w:t>
      </w:r>
    </w:p>
  </w:footnote>
  <w:footnote w:id="12">
    <w:p w14:paraId="70B43F61" w14:textId="223DE058" w:rsidR="00164C88" w:rsidRPr="00872387" w:rsidRDefault="00164C88"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Ibidem.</w:t>
      </w:r>
    </w:p>
  </w:footnote>
  <w:footnote w:id="13">
    <w:p w14:paraId="4DF07043"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w:t>
      </w:r>
      <w:r w:rsidRPr="00872387">
        <w:rPr>
          <w:rFonts w:ascii="Times New Roman" w:hAnsi="Times New Roman" w:cs="Times New Roman"/>
          <w:i/>
          <w:sz w:val="14"/>
          <w:szCs w:val="14"/>
        </w:rPr>
        <w:t xml:space="preserve">(Pp.2) Recuperado de: http://fileserver.idpc.net/library/dpa_marijuana_legalization_report_v8_0.pdf    </w:t>
      </w:r>
    </w:p>
  </w:footnote>
  <w:footnote w:id="14">
    <w:p w14:paraId="1C0F9648"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Moody´s. 2018. Recreational Marijuana Tax Revenues are Marginal Credit Positives. </w:t>
      </w:r>
      <w:r w:rsidRPr="00872387">
        <w:rPr>
          <w:rFonts w:ascii="Times New Roman" w:hAnsi="Times New Roman"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15">
    <w:p w14:paraId="1D04F6C4" w14:textId="77777777" w:rsidR="00164C88" w:rsidRPr="00872387" w:rsidRDefault="00164C88" w:rsidP="00F36280">
      <w:pPr>
        <w:pStyle w:val="Textonotapie"/>
        <w:jc w:val="both"/>
        <w:rPr>
          <w:rFonts w:ascii="Times New Roman" w:hAnsi="Times New Roman" w:cs="Times New Roman"/>
          <w:i/>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16">
    <w:p w14:paraId="627B6FEE"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Blumenauer, E. 2018. The Path Forward: Rethinking Federal Marijuana Policy. </w:t>
      </w:r>
      <w:r w:rsidRPr="00872387">
        <w:rPr>
          <w:rFonts w:ascii="Times New Roman" w:hAnsi="Times New Roman" w:cs="Times New Roman"/>
          <w:i/>
          <w:sz w:val="14"/>
          <w:szCs w:val="14"/>
        </w:rPr>
        <w:t>(P.p.10).  Recuperado de: https://blumenauer.house.gov/sites/blumenauer.house.gov/files/BlumenauerReport_ThePathForward.pdf</w:t>
      </w:r>
    </w:p>
  </w:footnote>
  <w:footnote w:id="17">
    <w:p w14:paraId="3481D62D"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Washington Post.  2016. Justin Trudeau may have made the best case for legal pot ever. </w:t>
      </w:r>
      <w:r w:rsidRPr="00872387">
        <w:rPr>
          <w:rFonts w:ascii="Times New Roman" w:hAnsi="Times New Roman" w:cs="Times New Roman"/>
          <w:i/>
          <w:sz w:val="14"/>
          <w:szCs w:val="14"/>
        </w:rPr>
        <w:t>Recuperado de: https://www.washingtonpost.com/news/wonk/wp/2016/06/10/why-people-who-hate-marijuana-should-legalize-it-anyway-according-to-justin-trudeau/?noredirect=on&amp;utm_term=.75678dd510b9</w:t>
      </w:r>
    </w:p>
  </w:footnote>
  <w:footnote w:id="18">
    <w:p w14:paraId="74025895"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19">
    <w:p w14:paraId="190D3CF9"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Regulación: El Control Responsable de las Drogas. Recuperado de: http://fileserver.idpc.net/library/SPA-2018_Regulation_Report_WEB-FINAL.pdf</w:t>
      </w:r>
    </w:p>
  </w:footnote>
  <w:footnote w:id="20">
    <w:p w14:paraId="2BE8E537" w14:textId="77777777" w:rsidR="00164C88" w:rsidRPr="00872387" w:rsidRDefault="00164C88"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iCs/>
          <w:sz w:val="14"/>
          <w:szCs w:val="14"/>
        </w:rPr>
        <w:t>Ibidem.</w:t>
      </w:r>
    </w:p>
  </w:footnote>
  <w:footnote w:id="21">
    <w:p w14:paraId="20AE30C5" w14:textId="77777777" w:rsidR="00164C88" w:rsidRPr="00872387" w:rsidRDefault="00164C88" w:rsidP="00F36280">
      <w:pPr>
        <w:pStyle w:val="Textonotapie"/>
        <w:jc w:val="both"/>
        <w:rPr>
          <w:rFonts w:ascii="Times New Roman" w:hAnsi="Times New Roman" w:cs="Times New Roman"/>
          <w:i/>
          <w:color w:val="0000FF" w:themeColor="hyperlink"/>
          <w:sz w:val="14"/>
          <w:szCs w:val="14"/>
          <w:u w:val="single"/>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22">
    <w:p w14:paraId="5591BB79"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El Observador. 2018. El jueves aumenta el precio de la marihuana a $200. Recuperado de: https://www.elobservador.com.uy/nota/el-jueves-aumenta-el-precio-de-la-marihuana-a-200--201813019260.</w:t>
      </w:r>
    </w:p>
  </w:footnote>
  <w:footnote w:id="23">
    <w:p w14:paraId="52D1FCDA"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Referencia a “Sobredosis Carcelaria” tomada del título del informe de Dejusticia de 2017 titulado “Sobredosis Carcelaria y Política de Drogas en América Latina”.</w:t>
      </w:r>
    </w:p>
  </w:footnote>
  <w:footnote w:id="24">
    <w:p w14:paraId="5CDE269D" w14:textId="77777777" w:rsidR="00164C88" w:rsidRPr="00872387" w:rsidRDefault="00164C88" w:rsidP="00F36280">
      <w:pPr>
        <w:pStyle w:val="Textonotapie"/>
        <w:jc w:val="both"/>
        <w:rPr>
          <w:rFonts w:ascii="Times New Roman" w:hAnsi="Times New Roman" w:cs="Times New Roman"/>
          <w:sz w:val="14"/>
          <w:szCs w:val="14"/>
          <w:lang w:val="en-US"/>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25">
    <w:p w14:paraId="517C32B2" w14:textId="520977E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Ibidem.</w:t>
      </w:r>
    </w:p>
  </w:footnote>
  <w:footnote w:id="26">
    <w:p w14:paraId="24B1B274"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Rodrigo Uprimny, “Una oportunidad perdida”, Dejusticia. 2019.</w:t>
      </w:r>
    </w:p>
  </w:footnote>
  <w:footnote w:id="27">
    <w:p w14:paraId="04CBE4B3"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Leslie King and Lawrence Phillips. “Drug harms in the UK: a multicriteria decision analysis”. </w:t>
      </w:r>
      <w:r w:rsidRPr="00872387">
        <w:rPr>
          <w:rFonts w:ascii="Times New Roman" w:hAnsi="Times New Roman" w:cs="Times New Roman"/>
          <w:i/>
          <w:sz w:val="14"/>
          <w:szCs w:val="14"/>
        </w:rPr>
        <w:t>David Nutt. The Lancet, 2010.</w:t>
      </w:r>
    </w:p>
  </w:footnote>
  <w:footnote w:id="28">
    <w:p w14:paraId="1D114D9E" w14:textId="77777777" w:rsidR="00164C88" w:rsidRPr="00872387" w:rsidRDefault="00164C88" w:rsidP="00F36280">
      <w:pPr>
        <w:pStyle w:val="Textonotapie"/>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Corte Constitucional, Sentencia C-221 de 1994. M.P. Carlos Gaviria Díaz.</w:t>
      </w:r>
    </w:p>
  </w:footnote>
  <w:footnote w:id="29">
    <w:p w14:paraId="3BDB6EC8"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hAnsi="Times New Roman" w:cs="Times New Roman"/>
          <w:i/>
          <w:iCs/>
          <w:sz w:val="14"/>
          <w:szCs w:val="14"/>
          <w:lang w:val="es-ES_tradnl"/>
        </w:rPr>
        <w:t>“</w:t>
      </w:r>
      <w:r w:rsidRPr="00872387">
        <w:rPr>
          <w:rFonts w:ascii="Times New Roman" w:hAnsi="Times New Roman"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872387">
        <w:rPr>
          <w:rFonts w:ascii="Times New Roman" w:hAnsi="Times New Roman" w:cs="Times New Roman"/>
          <w:sz w:val="14"/>
          <w:szCs w:val="14"/>
          <w:lang w:val="es-ES_tradnl"/>
        </w:rPr>
        <w:t xml:space="preserve">, la cual indica en su Artículo 2 que </w:t>
      </w:r>
      <w:r w:rsidRPr="00872387">
        <w:rPr>
          <w:rFonts w:ascii="Times New Roman" w:hAnsi="Times New Roman"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30">
    <w:p w14:paraId="6C35B3F6"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31">
    <w:p w14:paraId="6345E53E" w14:textId="77777777" w:rsidR="00164C88" w:rsidRPr="00872387" w:rsidRDefault="00164C88" w:rsidP="00F36280">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rPr>
        <w:t>Medina-Mora, Real, Villatoro, &amp; Natera, “Las drogas y la salud pública: ¿hacia dónde vamos?”, 2013; página 68</w:t>
      </w:r>
    </w:p>
  </w:footnote>
  <w:footnote w:id="32">
    <w:p w14:paraId="0B78658D" w14:textId="77777777" w:rsidR="00164C88" w:rsidRPr="00872387" w:rsidRDefault="00164C88" w:rsidP="00F36280">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w:t>
      </w:r>
      <w:r w:rsidRPr="00872387">
        <w:rPr>
          <w:rFonts w:ascii="Times New Roman" w:eastAsia="Calibri" w:hAnsi="Times New Roman" w:cs="Times New Roman"/>
          <w:i/>
          <w:sz w:val="14"/>
          <w:szCs w:val="14"/>
        </w:rPr>
        <w:t>Ministerio de Salud, Dirección de Promoción y prevención,”El consumo de SPA en Colombia” 2015.</w:t>
      </w:r>
    </w:p>
  </w:footnote>
  <w:footnote w:id="33">
    <w:p w14:paraId="24DC8686" w14:textId="77777777" w:rsidR="00164C88" w:rsidRPr="00872387" w:rsidRDefault="00164C88" w:rsidP="00F36280">
      <w:pPr>
        <w:jc w:val="both"/>
        <w:rPr>
          <w:rFonts w:eastAsia="Calibri"/>
          <w:i/>
          <w:sz w:val="14"/>
          <w:szCs w:val="14"/>
        </w:rPr>
      </w:pPr>
      <w:r w:rsidRPr="00872387">
        <w:rPr>
          <w:rStyle w:val="Refdenotaalpie"/>
          <w:i/>
          <w:sz w:val="14"/>
          <w:szCs w:val="14"/>
        </w:rPr>
        <w:footnoteRef/>
      </w:r>
      <w:r w:rsidRPr="00872387">
        <w:rPr>
          <w:i/>
          <w:sz w:val="14"/>
          <w:szCs w:val="14"/>
        </w:rPr>
        <w:t xml:space="preserve"> Rodrigo Uprimny, “Una oportunidad perdida”, Dejusticia. 2019</w:t>
      </w:r>
    </w:p>
  </w:footnote>
  <w:footnote w:id="34">
    <w:p w14:paraId="5CD92491"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35">
    <w:p w14:paraId="115CC07F"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36">
    <w:p w14:paraId="2E51783E"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37">
    <w:p w14:paraId="067EAD88" w14:textId="77777777" w:rsidR="00164C88" w:rsidRPr="00872387" w:rsidRDefault="00164C88" w:rsidP="00191D6F">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38">
    <w:p w14:paraId="44D3E710"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World Prison Brief, Institute for Criminal Policy Research. </w:t>
      </w:r>
      <w:r w:rsidRPr="00872387">
        <w:rPr>
          <w:rFonts w:ascii="Times New Roman" w:hAnsi="Times New Roman" w:cs="Times New Roman"/>
          <w:i/>
          <w:sz w:val="14"/>
          <w:szCs w:val="14"/>
        </w:rPr>
        <w:t>Recuperado de: http://www.prisonstudies.org/highest-to-lowest/prison-population-total y http://www.prisonstudies.org/country/colombia</w:t>
      </w:r>
    </w:p>
  </w:footnote>
  <w:footnote w:id="39">
    <w:p w14:paraId="1054348C" w14:textId="77777777" w:rsidR="00164C88" w:rsidRPr="00872387" w:rsidRDefault="00164C88" w:rsidP="00191D6F">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40">
    <w:p w14:paraId="09708946"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41">
    <w:p w14:paraId="3D4EEE90" w14:textId="77777777" w:rsidR="00164C88" w:rsidRPr="00872387" w:rsidRDefault="00164C88" w:rsidP="00191D6F">
      <w:pPr>
        <w:pStyle w:val="Textonotapie"/>
        <w:rPr>
          <w:rFonts w:ascii="Times New Roman" w:hAnsi="Times New Roman" w:cs="Times New Roman"/>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w:t>
      </w:r>
      <w:r w:rsidRPr="00872387">
        <w:rPr>
          <w:rFonts w:ascii="Times New Roman" w:hAnsi="Times New Roman"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42">
    <w:p w14:paraId="1822E3A1"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43">
    <w:p w14:paraId="0D835EC0"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44">
    <w:p w14:paraId="03D69544" w14:textId="77777777" w:rsidR="00164C88" w:rsidRPr="00872387" w:rsidRDefault="00164C88" w:rsidP="00191D6F">
      <w:pPr>
        <w:pStyle w:val="Textonotapie"/>
        <w:jc w:val="both"/>
        <w:rPr>
          <w:rFonts w:ascii="Times New Roman" w:hAnsi="Times New Roman" w:cs="Times New Roman"/>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45">
    <w:p w14:paraId="5A28F6F1" w14:textId="77777777" w:rsidR="00164C88" w:rsidRPr="00872387" w:rsidRDefault="00164C88" w:rsidP="00191D6F">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rPr>
        <w:t xml:space="preserve"> Centro de Estudios de Derecho, Justicia y Sociedad, Dejusticia. 2017. Sobredosis Carcelaria y Política de Drogas en América Latina. Documentos Dejusticia 37. (Pp. 73) Recuperado de: </w:t>
      </w:r>
      <w:hyperlink r:id="rId1" w:history="1">
        <w:r w:rsidRPr="00872387">
          <w:rPr>
            <w:rStyle w:val="Hipervnculo"/>
            <w:rFonts w:ascii="Times New Roman" w:hAnsi="Times New Roman" w:cs="Times New Roman"/>
            <w:i/>
            <w:color w:val="auto"/>
            <w:sz w:val="14"/>
            <w:szCs w:val="14"/>
            <w:u w:val="none"/>
          </w:rPr>
          <w:t>https://www.dejusticia.org/wp-content/uploads/2017/07/Delitos-de-drogas-y-sobredosis-carcelaria-en-Colombia-Version-final-PDF-para-WEB.pdf</w:t>
        </w:r>
      </w:hyperlink>
    </w:p>
  </w:footnote>
  <w:footnote w:id="46">
    <w:p w14:paraId="3E6D6D7D" w14:textId="77777777" w:rsidR="00164C88" w:rsidRPr="00872387" w:rsidRDefault="00164C88" w:rsidP="00191D6F">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 xml:space="preserve">Comisión Global de Políticas de Drogas. 2018. Políticas De Drogas Y La Agenda Para El Desarrollo Sostenible. (Pp.17) Recuperado de: </w:t>
      </w:r>
      <w:hyperlink r:id="rId2" w:history="1">
        <w:r w:rsidRPr="00872387">
          <w:rPr>
            <w:rStyle w:val="Hipervnculo"/>
            <w:rFonts w:ascii="Times New Roman" w:hAnsi="Times New Roman" w:cs="Times New Roman"/>
            <w:i/>
            <w:color w:val="auto"/>
            <w:sz w:val="14"/>
            <w:szCs w:val="14"/>
            <w:u w:val="none"/>
          </w:rPr>
          <w:t>http://www.globalcommissionondrugs.org/wp-content/uploads/2018/11/SPA-2018_SDGPaper_WEB.pdf</w:t>
        </w:r>
      </w:hyperlink>
    </w:p>
  </w:footnote>
  <w:footnote w:id="47">
    <w:p w14:paraId="070E1EAB" w14:textId="77777777" w:rsidR="00164C88" w:rsidRPr="00872387" w:rsidRDefault="00164C88" w:rsidP="00191D6F">
      <w:pPr>
        <w:pStyle w:val="Textonotapie"/>
        <w:rPr>
          <w:rFonts w:ascii="Times New Roman" w:hAnsi="Times New Roman" w:cs="Times New Roman"/>
          <w:i/>
          <w:iCs/>
          <w:sz w:val="14"/>
          <w:szCs w:val="14"/>
        </w:rPr>
      </w:pPr>
      <w:r w:rsidRPr="00872387">
        <w:rPr>
          <w:rStyle w:val="Refdenotaalpie"/>
          <w:rFonts w:ascii="Times New Roman" w:hAnsi="Times New Roman" w:cs="Times New Roman"/>
          <w:i/>
          <w:iCs/>
          <w:sz w:val="14"/>
          <w:szCs w:val="14"/>
        </w:rPr>
        <w:footnoteRef/>
      </w:r>
      <w:r w:rsidRPr="00872387">
        <w:rPr>
          <w:rFonts w:ascii="Times New Roman" w:hAnsi="Times New Roman" w:cs="Times New Roman"/>
          <w:i/>
          <w:iCs/>
          <w:sz w:val="14"/>
          <w:szCs w:val="14"/>
        </w:rPr>
        <w:t xml:space="preserve"> Ibidem.</w:t>
      </w:r>
    </w:p>
  </w:footnote>
  <w:footnote w:id="48">
    <w:p w14:paraId="15D8874A" w14:textId="19ED5440"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British Broadcasting Corporation BBC Cuáles son las sustancias más adictivas del mundo y qué le hacen a nuestro cerebro, recuperado de https://www.bbc.com/mundo/noticias-46877409</w:t>
      </w:r>
    </w:p>
  </w:footnote>
  <w:footnote w:id="49">
    <w:p w14:paraId="2ECACD91"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0">
    <w:p w14:paraId="353D098B"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lang w:val="en-US"/>
        </w:rPr>
        <w:t xml:space="preserve"> </w:t>
      </w:r>
      <w:r w:rsidRPr="00872387">
        <w:rPr>
          <w:rFonts w:ascii="Times New Roman" w:hAnsi="Times New Roman" w:cs="Times New Roman"/>
          <w:i/>
          <w:sz w:val="14"/>
          <w:szCs w:val="14"/>
          <w:lang w:val="en-US"/>
        </w:rPr>
        <w:t xml:space="preserve">Leslie King and Lawrence Phillips. “Drug harms in the UK: a multicriteria decision analysis”. </w:t>
      </w:r>
      <w:r w:rsidRPr="00872387">
        <w:rPr>
          <w:rFonts w:ascii="Times New Roman" w:hAnsi="Times New Roman" w:cs="Times New Roman"/>
          <w:i/>
          <w:sz w:val="14"/>
          <w:szCs w:val="14"/>
        </w:rPr>
        <w:t>David Nutt. The Lancet, 2010.</w:t>
      </w:r>
    </w:p>
  </w:footnote>
  <w:footnote w:id="51">
    <w:p w14:paraId="01A3F97C"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2">
    <w:p w14:paraId="0AA6B150" w14:textId="77777777" w:rsidR="00164C88" w:rsidRPr="00872387" w:rsidRDefault="00164C88" w:rsidP="001B4F33">
      <w:pPr>
        <w:jc w:val="both"/>
        <w:rPr>
          <w:sz w:val="14"/>
          <w:szCs w:val="14"/>
        </w:rPr>
      </w:pPr>
      <w:r w:rsidRPr="00872387">
        <w:rPr>
          <w:rStyle w:val="Refdenotaalpie"/>
          <w:sz w:val="14"/>
          <w:szCs w:val="14"/>
        </w:rPr>
        <w:footnoteRef/>
      </w:r>
      <w:r w:rsidRPr="00872387">
        <w:rPr>
          <w:sz w:val="14"/>
          <w:szCs w:val="14"/>
        </w:rPr>
        <w:t xml:space="preserve"> </w:t>
      </w:r>
      <w:r w:rsidRPr="00872387">
        <w:rPr>
          <w:i/>
          <w:sz w:val="14"/>
          <w:szCs w:val="14"/>
        </w:rPr>
        <w:t>UNODC, Estudio Nacional de Consumo de Sustancias Psicoactivas en Colombia 2013 – Informe Final, 2013, recuperado de: https://www.unodc.org/documents/colombia/2014/Julio/Estudio_de_Consumo_UNODC.pdf</w:t>
      </w:r>
    </w:p>
  </w:footnote>
  <w:footnote w:id="53">
    <w:p w14:paraId="37ED046F"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4">
    <w:p w14:paraId="1ACFE869"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Roberto Solórzano Niño, Medicina Lega, criminalística y toxicología para abogados, 1996.</w:t>
      </w:r>
    </w:p>
  </w:footnote>
  <w:footnote w:id="55">
    <w:p w14:paraId="3513CA47" w14:textId="77777777" w:rsidR="00164C88" w:rsidRPr="00872387" w:rsidRDefault="00164C88" w:rsidP="001B4F33">
      <w:pPr>
        <w:pStyle w:val="Textonotapie"/>
        <w:jc w:val="both"/>
        <w:rPr>
          <w:rFonts w:ascii="Times New Roman" w:hAnsi="Times New Roman" w:cs="Times New Roman"/>
          <w:sz w:val="14"/>
          <w:szCs w:val="14"/>
        </w:rPr>
      </w:pPr>
      <w:r w:rsidRPr="00872387">
        <w:rPr>
          <w:rStyle w:val="Refdenotaalpie"/>
          <w:rFonts w:ascii="Times New Roman" w:hAnsi="Times New Roman" w:cs="Times New Roman"/>
          <w:sz w:val="14"/>
          <w:szCs w:val="14"/>
        </w:rPr>
        <w:footnoteRef/>
      </w:r>
      <w:r w:rsidRPr="00872387">
        <w:rPr>
          <w:rFonts w:ascii="Times New Roman" w:hAnsi="Times New Roman" w:cs="Times New Roman"/>
          <w:sz w:val="14"/>
          <w:szCs w:val="14"/>
        </w:rPr>
        <w:t xml:space="preserve"> </w:t>
      </w:r>
      <w:r w:rsidRPr="00872387">
        <w:rPr>
          <w:rFonts w:ascii="Times New Roman" w:hAnsi="Times New Roman" w:cs="Times New Roman"/>
          <w:i/>
          <w:sz w:val="14"/>
          <w:szCs w:val="14"/>
        </w:rPr>
        <w:t>Cesar Augusto Giraldo Giraldo, Medicina Forense, 2009.</w:t>
      </w:r>
    </w:p>
  </w:footnote>
  <w:footnote w:id="56">
    <w:p w14:paraId="5E2A0BFF" w14:textId="77777777" w:rsidR="00164C88" w:rsidRPr="00872387" w:rsidRDefault="00164C88" w:rsidP="00C776F4">
      <w:pPr>
        <w:pStyle w:val="Textonotapie"/>
        <w:jc w:val="both"/>
        <w:rPr>
          <w:rFonts w:ascii="Times New Roman" w:hAnsi="Times New Roman" w:cs="Times New Roman"/>
          <w:i/>
          <w:sz w:val="14"/>
          <w:szCs w:val="14"/>
        </w:rPr>
      </w:pPr>
      <w:r w:rsidRPr="00872387">
        <w:rPr>
          <w:rStyle w:val="Refdenotaalpie"/>
          <w:rFonts w:ascii="Times New Roman" w:hAnsi="Times New Roman" w:cs="Times New Roman"/>
          <w:i/>
          <w:sz w:val="14"/>
          <w:szCs w:val="14"/>
        </w:rPr>
        <w:footnoteRef/>
      </w:r>
      <w:r w:rsidRPr="00872387">
        <w:rPr>
          <w:rFonts w:ascii="Times New Roman" w:hAnsi="Times New Roman" w:cs="Times New Roman"/>
          <w:i/>
          <w:sz w:val="14"/>
          <w:szCs w:val="14"/>
          <w:lang w:val="en-US"/>
        </w:rPr>
        <w:t xml:space="preserve"> German Lopez. </w:t>
      </w:r>
      <w:hyperlink r:id="rId3" w:tgtFrame="_blank" w:history="1">
        <w:r w:rsidRPr="00872387">
          <w:rPr>
            <w:rFonts w:ascii="Times New Roman" w:hAnsi="Times New Roman" w:cs="Times New Roman"/>
            <w:i/>
            <w:sz w:val="14"/>
            <w:szCs w:val="14"/>
            <w:lang w:val="en-US"/>
          </w:rPr>
          <w:t xml:space="preserve">The three deathliest drugs in America. </w:t>
        </w:r>
        <w:r w:rsidRPr="00872387">
          <w:rPr>
            <w:rFonts w:ascii="Times New Roman" w:hAnsi="Times New Roman" w:cs="Times New Roman"/>
            <w:i/>
            <w:sz w:val="14"/>
            <w:szCs w:val="14"/>
          </w:rPr>
          <w:t>Vox 2017</w:t>
        </w:r>
      </w:hyperlink>
      <w:r w:rsidRPr="00872387">
        <w:rPr>
          <w:rFonts w:ascii="Times New Roman" w:hAnsi="Times New Roman" w:cs="Times New Roman"/>
          <w:i/>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9074" w14:textId="77777777" w:rsidR="00164C88" w:rsidRDefault="00164C88">
    <w:pPr>
      <w:pBdr>
        <w:top w:val="nil"/>
        <w:left w:val="nil"/>
        <w:bottom w:val="nil"/>
        <w:right w:val="nil"/>
        <w:between w:val="nil"/>
      </w:pBdr>
      <w:rPr>
        <w:sz w:val="20"/>
        <w:szCs w:val="20"/>
      </w:rPr>
    </w:pPr>
    <w:r>
      <w:rPr>
        <w:noProof/>
      </w:rPr>
      <w:drawing>
        <wp:anchor distT="0" distB="0" distL="0" distR="0" simplePos="0" relativeHeight="251658240" behindDoc="0" locked="0" layoutInCell="1" hidden="0" allowOverlap="1" wp14:anchorId="4B4F876A" wp14:editId="5B01E690">
          <wp:simplePos x="0" y="0"/>
          <wp:positionH relativeFrom="margin">
            <wp:posOffset>1701165</wp:posOffset>
          </wp:positionH>
          <wp:positionV relativeFrom="paragraph">
            <wp:posOffset>-23495</wp:posOffset>
          </wp:positionV>
          <wp:extent cx="2200619" cy="647700"/>
          <wp:effectExtent l="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64307739" w14:textId="77777777" w:rsidR="00164C88" w:rsidRDefault="00164C88">
    <w:pPr>
      <w:pBdr>
        <w:top w:val="nil"/>
        <w:left w:val="nil"/>
        <w:bottom w:val="nil"/>
        <w:right w:val="nil"/>
        <w:between w:val="nil"/>
      </w:pBdr>
      <w:rPr>
        <w:sz w:val="20"/>
        <w:szCs w:val="20"/>
      </w:rPr>
    </w:pPr>
  </w:p>
  <w:p w14:paraId="325AB1AE" w14:textId="77777777" w:rsidR="00164C88" w:rsidRDefault="00164C88">
    <w:pPr>
      <w:pBdr>
        <w:top w:val="nil"/>
        <w:left w:val="nil"/>
        <w:bottom w:val="nil"/>
        <w:right w:val="nil"/>
        <w:between w:val="nil"/>
      </w:pBdr>
      <w:ind w:left="-1133"/>
      <w:rPr>
        <w:sz w:val="20"/>
        <w:szCs w:val="20"/>
      </w:rPr>
    </w:pPr>
  </w:p>
  <w:p w14:paraId="5C5F303C" w14:textId="77777777" w:rsidR="00164C88" w:rsidRDefault="00164C88">
    <w:pPr>
      <w:pBdr>
        <w:top w:val="nil"/>
        <w:left w:val="nil"/>
        <w:bottom w:val="nil"/>
        <w:right w:val="nil"/>
        <w:between w:val="nil"/>
      </w:pBdr>
      <w:rPr>
        <w:sz w:val="20"/>
        <w:szCs w:val="20"/>
      </w:rPr>
    </w:pPr>
  </w:p>
  <w:p w14:paraId="64F6DCC9" w14:textId="77777777" w:rsidR="00164C88" w:rsidRDefault="00164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359" w:hanging="360"/>
      </w:pPr>
      <w:rPr>
        <w:rFonts w:ascii="Symbol" w:hAnsi="Symbol" w:hint="default"/>
      </w:rPr>
    </w:lvl>
    <w:lvl w:ilvl="1" w:tplc="240A0003">
      <w:start w:val="1"/>
      <w:numFmt w:val="bullet"/>
      <w:lvlText w:val="o"/>
      <w:lvlJc w:val="left"/>
      <w:pPr>
        <w:ind w:left="1079" w:hanging="360"/>
      </w:pPr>
      <w:rPr>
        <w:rFonts w:ascii="Courier New" w:hAnsi="Courier New" w:cs="Courier New" w:hint="default"/>
      </w:rPr>
    </w:lvl>
    <w:lvl w:ilvl="2" w:tplc="240A0005">
      <w:start w:val="1"/>
      <w:numFmt w:val="bullet"/>
      <w:lvlText w:val=""/>
      <w:lvlJc w:val="left"/>
      <w:pPr>
        <w:ind w:left="1799" w:hanging="360"/>
      </w:pPr>
      <w:rPr>
        <w:rFonts w:ascii="Wingdings" w:hAnsi="Wingdings" w:hint="default"/>
      </w:rPr>
    </w:lvl>
    <w:lvl w:ilvl="3" w:tplc="240A0001" w:tentative="1">
      <w:start w:val="1"/>
      <w:numFmt w:val="bullet"/>
      <w:lvlText w:val=""/>
      <w:lvlJc w:val="left"/>
      <w:pPr>
        <w:ind w:left="2519" w:hanging="360"/>
      </w:pPr>
      <w:rPr>
        <w:rFonts w:ascii="Symbol" w:hAnsi="Symbol" w:hint="default"/>
      </w:rPr>
    </w:lvl>
    <w:lvl w:ilvl="4" w:tplc="240A0003" w:tentative="1">
      <w:start w:val="1"/>
      <w:numFmt w:val="bullet"/>
      <w:lvlText w:val="o"/>
      <w:lvlJc w:val="left"/>
      <w:pPr>
        <w:ind w:left="3239" w:hanging="360"/>
      </w:pPr>
      <w:rPr>
        <w:rFonts w:ascii="Courier New" w:hAnsi="Courier New" w:cs="Courier New" w:hint="default"/>
      </w:rPr>
    </w:lvl>
    <w:lvl w:ilvl="5" w:tplc="240A0005" w:tentative="1">
      <w:start w:val="1"/>
      <w:numFmt w:val="bullet"/>
      <w:lvlText w:val=""/>
      <w:lvlJc w:val="left"/>
      <w:pPr>
        <w:ind w:left="3959" w:hanging="360"/>
      </w:pPr>
      <w:rPr>
        <w:rFonts w:ascii="Wingdings" w:hAnsi="Wingdings" w:hint="default"/>
      </w:rPr>
    </w:lvl>
    <w:lvl w:ilvl="6" w:tplc="240A0001" w:tentative="1">
      <w:start w:val="1"/>
      <w:numFmt w:val="bullet"/>
      <w:lvlText w:val=""/>
      <w:lvlJc w:val="left"/>
      <w:pPr>
        <w:ind w:left="4679" w:hanging="360"/>
      </w:pPr>
      <w:rPr>
        <w:rFonts w:ascii="Symbol" w:hAnsi="Symbol" w:hint="default"/>
      </w:rPr>
    </w:lvl>
    <w:lvl w:ilvl="7" w:tplc="240A0003" w:tentative="1">
      <w:start w:val="1"/>
      <w:numFmt w:val="bullet"/>
      <w:lvlText w:val="o"/>
      <w:lvlJc w:val="left"/>
      <w:pPr>
        <w:ind w:left="5399" w:hanging="360"/>
      </w:pPr>
      <w:rPr>
        <w:rFonts w:ascii="Courier New" w:hAnsi="Courier New" w:cs="Courier New" w:hint="default"/>
      </w:rPr>
    </w:lvl>
    <w:lvl w:ilvl="8" w:tplc="240A0005" w:tentative="1">
      <w:start w:val="1"/>
      <w:numFmt w:val="bullet"/>
      <w:lvlText w:val=""/>
      <w:lvlJc w:val="left"/>
      <w:pPr>
        <w:ind w:left="6119"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FF52F2"/>
    <w:multiLevelType w:val="hybridMultilevel"/>
    <w:tmpl w:val="0EA4F932"/>
    <w:lvl w:ilvl="0" w:tplc="9C2AA472">
      <w:start w:val="1"/>
      <w:numFmt w:val="lowerRoman"/>
      <w:lvlText w:val="%1."/>
      <w:lvlJc w:val="righ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982B3C"/>
    <w:multiLevelType w:val="hybridMultilevel"/>
    <w:tmpl w:val="B9F8EC9C"/>
    <w:lvl w:ilvl="0" w:tplc="2DE28B7C">
      <w:start w:val="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DE1340"/>
    <w:multiLevelType w:val="hybridMultilevel"/>
    <w:tmpl w:val="5E6E32D2"/>
    <w:lvl w:ilvl="0" w:tplc="2DE28B7C">
      <w:start w:val="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33263AE"/>
    <w:multiLevelType w:val="multilevel"/>
    <w:tmpl w:val="0018EE3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1">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F170D51"/>
    <w:multiLevelType w:val="hybridMultilevel"/>
    <w:tmpl w:val="10C81862"/>
    <w:lvl w:ilvl="0" w:tplc="240A001B">
      <w:start w:val="1"/>
      <w:numFmt w:val="lowerRoman"/>
      <w:lvlText w:val="%1."/>
      <w:lvlJc w:val="righ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6">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6"/>
  </w:num>
  <w:num w:numId="2">
    <w:abstractNumId w:val="30"/>
  </w:num>
  <w:num w:numId="3">
    <w:abstractNumId w:val="27"/>
  </w:num>
  <w:num w:numId="4">
    <w:abstractNumId w:val="23"/>
  </w:num>
  <w:num w:numId="5">
    <w:abstractNumId w:val="9"/>
  </w:num>
  <w:num w:numId="6">
    <w:abstractNumId w:val="14"/>
  </w:num>
  <w:num w:numId="7">
    <w:abstractNumId w:val="5"/>
  </w:num>
  <w:num w:numId="8">
    <w:abstractNumId w:val="29"/>
  </w:num>
  <w:num w:numId="9">
    <w:abstractNumId w:val="0"/>
  </w:num>
  <w:num w:numId="10">
    <w:abstractNumId w:val="3"/>
  </w:num>
  <w:num w:numId="11">
    <w:abstractNumId w:val="25"/>
  </w:num>
  <w:num w:numId="12">
    <w:abstractNumId w:val="34"/>
  </w:num>
  <w:num w:numId="13">
    <w:abstractNumId w:val="19"/>
  </w:num>
  <w:num w:numId="14">
    <w:abstractNumId w:val="18"/>
  </w:num>
  <w:num w:numId="15">
    <w:abstractNumId w:val="4"/>
  </w:num>
  <w:num w:numId="16">
    <w:abstractNumId w:val="11"/>
  </w:num>
  <w:num w:numId="17">
    <w:abstractNumId w:val="33"/>
  </w:num>
  <w:num w:numId="18">
    <w:abstractNumId w:val="38"/>
  </w:num>
  <w:num w:numId="19">
    <w:abstractNumId w:val="24"/>
  </w:num>
  <w:num w:numId="20">
    <w:abstractNumId w:val="20"/>
  </w:num>
  <w:num w:numId="21">
    <w:abstractNumId w:val="13"/>
  </w:num>
  <w:num w:numId="22">
    <w:abstractNumId w:val="15"/>
  </w:num>
  <w:num w:numId="23">
    <w:abstractNumId w:val="2"/>
  </w:num>
  <w:num w:numId="24">
    <w:abstractNumId w:val="28"/>
  </w:num>
  <w:num w:numId="25">
    <w:abstractNumId w:val="39"/>
  </w:num>
  <w:num w:numId="26">
    <w:abstractNumId w:val="1"/>
  </w:num>
  <w:num w:numId="27">
    <w:abstractNumId w:val="32"/>
  </w:num>
  <w:num w:numId="28">
    <w:abstractNumId w:val="7"/>
  </w:num>
  <w:num w:numId="29">
    <w:abstractNumId w:val="17"/>
  </w:num>
  <w:num w:numId="30">
    <w:abstractNumId w:val="12"/>
  </w:num>
  <w:num w:numId="31">
    <w:abstractNumId w:val="10"/>
  </w:num>
  <w:num w:numId="32">
    <w:abstractNumId w:val="8"/>
  </w:num>
  <w:num w:numId="33">
    <w:abstractNumId w:val="36"/>
  </w:num>
  <w:num w:numId="34">
    <w:abstractNumId w:val="31"/>
  </w:num>
  <w:num w:numId="35">
    <w:abstractNumId w:val="21"/>
  </w:num>
  <w:num w:numId="36">
    <w:abstractNumId w:val="35"/>
  </w:num>
  <w:num w:numId="37">
    <w:abstractNumId w:val="6"/>
  </w:num>
  <w:num w:numId="38">
    <w:abstractNumId w:val="37"/>
  </w:num>
  <w:num w:numId="39">
    <w:abstractNumId w:val="2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563C"/>
    <w:rsid w:val="00014056"/>
    <w:rsid w:val="000162F9"/>
    <w:rsid w:val="000270BE"/>
    <w:rsid w:val="00027BFB"/>
    <w:rsid w:val="00046119"/>
    <w:rsid w:val="00052783"/>
    <w:rsid w:val="00052A0B"/>
    <w:rsid w:val="00065154"/>
    <w:rsid w:val="0007053A"/>
    <w:rsid w:val="000722E4"/>
    <w:rsid w:val="000735F7"/>
    <w:rsid w:val="00076CAE"/>
    <w:rsid w:val="00077ACA"/>
    <w:rsid w:val="0008764E"/>
    <w:rsid w:val="000A0BA4"/>
    <w:rsid w:val="000A0C3F"/>
    <w:rsid w:val="000A1BE0"/>
    <w:rsid w:val="000B09F5"/>
    <w:rsid w:val="000B0FBF"/>
    <w:rsid w:val="000B2201"/>
    <w:rsid w:val="000B60A8"/>
    <w:rsid w:val="000C1A6A"/>
    <w:rsid w:val="000C7D93"/>
    <w:rsid w:val="000E023A"/>
    <w:rsid w:val="000E4706"/>
    <w:rsid w:val="000E548B"/>
    <w:rsid w:val="000F026E"/>
    <w:rsid w:val="000F230B"/>
    <w:rsid w:val="000F5F03"/>
    <w:rsid w:val="000F6DEA"/>
    <w:rsid w:val="000F7153"/>
    <w:rsid w:val="0010074B"/>
    <w:rsid w:val="00101F36"/>
    <w:rsid w:val="0010392A"/>
    <w:rsid w:val="001044CA"/>
    <w:rsid w:val="00105026"/>
    <w:rsid w:val="00107C2A"/>
    <w:rsid w:val="00114B56"/>
    <w:rsid w:val="00114CF9"/>
    <w:rsid w:val="001207C8"/>
    <w:rsid w:val="00123065"/>
    <w:rsid w:val="0012331A"/>
    <w:rsid w:val="001239FE"/>
    <w:rsid w:val="001339FE"/>
    <w:rsid w:val="00141696"/>
    <w:rsid w:val="00150D77"/>
    <w:rsid w:val="00153ABB"/>
    <w:rsid w:val="001600E5"/>
    <w:rsid w:val="001610AF"/>
    <w:rsid w:val="00164C88"/>
    <w:rsid w:val="00165E31"/>
    <w:rsid w:val="001669E7"/>
    <w:rsid w:val="00167B87"/>
    <w:rsid w:val="00170353"/>
    <w:rsid w:val="00172D70"/>
    <w:rsid w:val="00177B55"/>
    <w:rsid w:val="00181D6F"/>
    <w:rsid w:val="00191D6F"/>
    <w:rsid w:val="0019685D"/>
    <w:rsid w:val="001A4AA6"/>
    <w:rsid w:val="001A51DC"/>
    <w:rsid w:val="001A6F20"/>
    <w:rsid w:val="001B1C71"/>
    <w:rsid w:val="001B4F33"/>
    <w:rsid w:val="001C6197"/>
    <w:rsid w:val="001C7182"/>
    <w:rsid w:val="001C7E8C"/>
    <w:rsid w:val="001D3C09"/>
    <w:rsid w:val="001D40DA"/>
    <w:rsid w:val="001D665B"/>
    <w:rsid w:val="001E3462"/>
    <w:rsid w:val="001E451B"/>
    <w:rsid w:val="001E4F39"/>
    <w:rsid w:val="001E7A73"/>
    <w:rsid w:val="00201497"/>
    <w:rsid w:val="0020374C"/>
    <w:rsid w:val="0020530C"/>
    <w:rsid w:val="00205F20"/>
    <w:rsid w:val="0020675D"/>
    <w:rsid w:val="00216F89"/>
    <w:rsid w:val="00217CCE"/>
    <w:rsid w:val="00221308"/>
    <w:rsid w:val="00223E5D"/>
    <w:rsid w:val="00226CBA"/>
    <w:rsid w:val="00227788"/>
    <w:rsid w:val="002317CB"/>
    <w:rsid w:val="00233318"/>
    <w:rsid w:val="0023556E"/>
    <w:rsid w:val="00241DE6"/>
    <w:rsid w:val="00246DEE"/>
    <w:rsid w:val="0025530D"/>
    <w:rsid w:val="002604DB"/>
    <w:rsid w:val="00265ECD"/>
    <w:rsid w:val="00267BD5"/>
    <w:rsid w:val="00275768"/>
    <w:rsid w:val="0027789D"/>
    <w:rsid w:val="002801C2"/>
    <w:rsid w:val="00282F87"/>
    <w:rsid w:val="00286901"/>
    <w:rsid w:val="00286FA3"/>
    <w:rsid w:val="0029353A"/>
    <w:rsid w:val="002A6AF2"/>
    <w:rsid w:val="002B0DF0"/>
    <w:rsid w:val="002B11D9"/>
    <w:rsid w:val="002B237E"/>
    <w:rsid w:val="002B31F4"/>
    <w:rsid w:val="002B66B2"/>
    <w:rsid w:val="002C24BA"/>
    <w:rsid w:val="002E0C5F"/>
    <w:rsid w:val="002E130A"/>
    <w:rsid w:val="002E290A"/>
    <w:rsid w:val="002E341B"/>
    <w:rsid w:val="002E6292"/>
    <w:rsid w:val="002F4AFF"/>
    <w:rsid w:val="002F5A1E"/>
    <w:rsid w:val="002F6C67"/>
    <w:rsid w:val="002F7282"/>
    <w:rsid w:val="00300BF3"/>
    <w:rsid w:val="0030440D"/>
    <w:rsid w:val="0030792C"/>
    <w:rsid w:val="0031300C"/>
    <w:rsid w:val="003313FF"/>
    <w:rsid w:val="00331601"/>
    <w:rsid w:val="00334B2E"/>
    <w:rsid w:val="00347F08"/>
    <w:rsid w:val="003529AD"/>
    <w:rsid w:val="00360CAA"/>
    <w:rsid w:val="00364A84"/>
    <w:rsid w:val="00374D1A"/>
    <w:rsid w:val="00376DE2"/>
    <w:rsid w:val="003860F8"/>
    <w:rsid w:val="003A0C32"/>
    <w:rsid w:val="003B14DE"/>
    <w:rsid w:val="003B3413"/>
    <w:rsid w:val="003B7E6E"/>
    <w:rsid w:val="003C1F07"/>
    <w:rsid w:val="003D75D6"/>
    <w:rsid w:val="003E0039"/>
    <w:rsid w:val="003E186A"/>
    <w:rsid w:val="003E1ACA"/>
    <w:rsid w:val="003E6C6A"/>
    <w:rsid w:val="003F4FE8"/>
    <w:rsid w:val="003F5182"/>
    <w:rsid w:val="003F6420"/>
    <w:rsid w:val="003F6492"/>
    <w:rsid w:val="00404730"/>
    <w:rsid w:val="00407458"/>
    <w:rsid w:val="00413FBA"/>
    <w:rsid w:val="0041471B"/>
    <w:rsid w:val="004151CA"/>
    <w:rsid w:val="00444E3F"/>
    <w:rsid w:val="00451771"/>
    <w:rsid w:val="00451A21"/>
    <w:rsid w:val="00452196"/>
    <w:rsid w:val="00464CCE"/>
    <w:rsid w:val="00466547"/>
    <w:rsid w:val="00467F87"/>
    <w:rsid w:val="00474C2B"/>
    <w:rsid w:val="00475543"/>
    <w:rsid w:val="004762E0"/>
    <w:rsid w:val="0048234F"/>
    <w:rsid w:val="004869B9"/>
    <w:rsid w:val="0048735C"/>
    <w:rsid w:val="004920BC"/>
    <w:rsid w:val="00497D15"/>
    <w:rsid w:val="004A0B24"/>
    <w:rsid w:val="004A7291"/>
    <w:rsid w:val="004B07EF"/>
    <w:rsid w:val="004C1887"/>
    <w:rsid w:val="004C6694"/>
    <w:rsid w:val="004C7E56"/>
    <w:rsid w:val="004D0A44"/>
    <w:rsid w:val="004D515A"/>
    <w:rsid w:val="004E207C"/>
    <w:rsid w:val="004E2D40"/>
    <w:rsid w:val="004E6155"/>
    <w:rsid w:val="004F34EA"/>
    <w:rsid w:val="004F37BA"/>
    <w:rsid w:val="004F4302"/>
    <w:rsid w:val="004F666C"/>
    <w:rsid w:val="00500B87"/>
    <w:rsid w:val="00507DF0"/>
    <w:rsid w:val="00513841"/>
    <w:rsid w:val="0051582D"/>
    <w:rsid w:val="0051681E"/>
    <w:rsid w:val="00521561"/>
    <w:rsid w:val="00522AEF"/>
    <w:rsid w:val="0052377B"/>
    <w:rsid w:val="00523C6F"/>
    <w:rsid w:val="00524AF4"/>
    <w:rsid w:val="00527D33"/>
    <w:rsid w:val="00530DC4"/>
    <w:rsid w:val="00531475"/>
    <w:rsid w:val="0053508D"/>
    <w:rsid w:val="0053597B"/>
    <w:rsid w:val="00537196"/>
    <w:rsid w:val="00537748"/>
    <w:rsid w:val="00543204"/>
    <w:rsid w:val="00543B38"/>
    <w:rsid w:val="00546AD7"/>
    <w:rsid w:val="0055232E"/>
    <w:rsid w:val="0055431F"/>
    <w:rsid w:val="005614AC"/>
    <w:rsid w:val="005647AE"/>
    <w:rsid w:val="00565530"/>
    <w:rsid w:val="00566088"/>
    <w:rsid w:val="0058171F"/>
    <w:rsid w:val="00582C8C"/>
    <w:rsid w:val="00590D4F"/>
    <w:rsid w:val="00590FC3"/>
    <w:rsid w:val="0059231F"/>
    <w:rsid w:val="005947A7"/>
    <w:rsid w:val="00596B89"/>
    <w:rsid w:val="00597B4D"/>
    <w:rsid w:val="005A0028"/>
    <w:rsid w:val="005A1EE1"/>
    <w:rsid w:val="005A2DD7"/>
    <w:rsid w:val="005A42C0"/>
    <w:rsid w:val="005A581B"/>
    <w:rsid w:val="005B214D"/>
    <w:rsid w:val="005B5606"/>
    <w:rsid w:val="005B5FC0"/>
    <w:rsid w:val="005B76C1"/>
    <w:rsid w:val="005D0EC2"/>
    <w:rsid w:val="005D2978"/>
    <w:rsid w:val="005D43AE"/>
    <w:rsid w:val="005E1CCC"/>
    <w:rsid w:val="005E2983"/>
    <w:rsid w:val="005F0268"/>
    <w:rsid w:val="005F39A4"/>
    <w:rsid w:val="005F6149"/>
    <w:rsid w:val="00604B59"/>
    <w:rsid w:val="00604EFF"/>
    <w:rsid w:val="0060522E"/>
    <w:rsid w:val="0061072A"/>
    <w:rsid w:val="0061619A"/>
    <w:rsid w:val="006163DA"/>
    <w:rsid w:val="0061646A"/>
    <w:rsid w:val="00616FE2"/>
    <w:rsid w:val="00623A7D"/>
    <w:rsid w:val="00635E45"/>
    <w:rsid w:val="00641104"/>
    <w:rsid w:val="00642B4D"/>
    <w:rsid w:val="006430E7"/>
    <w:rsid w:val="00647748"/>
    <w:rsid w:val="00650B75"/>
    <w:rsid w:val="00651345"/>
    <w:rsid w:val="006533F9"/>
    <w:rsid w:val="0065417F"/>
    <w:rsid w:val="0066714B"/>
    <w:rsid w:val="00670E79"/>
    <w:rsid w:val="00670F1C"/>
    <w:rsid w:val="00671451"/>
    <w:rsid w:val="00676C64"/>
    <w:rsid w:val="006816C1"/>
    <w:rsid w:val="006905C7"/>
    <w:rsid w:val="006A4C6D"/>
    <w:rsid w:val="006B5396"/>
    <w:rsid w:val="006B572D"/>
    <w:rsid w:val="006C5ABF"/>
    <w:rsid w:val="006C75A9"/>
    <w:rsid w:val="006D04A0"/>
    <w:rsid w:val="006D285A"/>
    <w:rsid w:val="006E0162"/>
    <w:rsid w:val="006E2F1E"/>
    <w:rsid w:val="006E36F8"/>
    <w:rsid w:val="006F1A50"/>
    <w:rsid w:val="00700900"/>
    <w:rsid w:val="00701F81"/>
    <w:rsid w:val="00710A07"/>
    <w:rsid w:val="00731A29"/>
    <w:rsid w:val="00731C8C"/>
    <w:rsid w:val="00732316"/>
    <w:rsid w:val="007450AC"/>
    <w:rsid w:val="007457F0"/>
    <w:rsid w:val="00750120"/>
    <w:rsid w:val="00753C73"/>
    <w:rsid w:val="007570F5"/>
    <w:rsid w:val="007625A8"/>
    <w:rsid w:val="00767B0B"/>
    <w:rsid w:val="00773D52"/>
    <w:rsid w:val="00774D1B"/>
    <w:rsid w:val="00782CC0"/>
    <w:rsid w:val="007840E2"/>
    <w:rsid w:val="00787B1D"/>
    <w:rsid w:val="007946CC"/>
    <w:rsid w:val="0079491D"/>
    <w:rsid w:val="00795027"/>
    <w:rsid w:val="007A100A"/>
    <w:rsid w:val="007B514F"/>
    <w:rsid w:val="007B7910"/>
    <w:rsid w:val="007C00D8"/>
    <w:rsid w:val="007C03BC"/>
    <w:rsid w:val="007C33E0"/>
    <w:rsid w:val="007E394B"/>
    <w:rsid w:val="007E446F"/>
    <w:rsid w:val="007E657A"/>
    <w:rsid w:val="007E733E"/>
    <w:rsid w:val="007F5631"/>
    <w:rsid w:val="008029BE"/>
    <w:rsid w:val="00804E6C"/>
    <w:rsid w:val="00805F5F"/>
    <w:rsid w:val="00807589"/>
    <w:rsid w:val="008364B1"/>
    <w:rsid w:val="00840C22"/>
    <w:rsid w:val="0084110A"/>
    <w:rsid w:val="008450BB"/>
    <w:rsid w:val="00847EF6"/>
    <w:rsid w:val="008611EA"/>
    <w:rsid w:val="008665E2"/>
    <w:rsid w:val="00870636"/>
    <w:rsid w:val="00871D9C"/>
    <w:rsid w:val="00872387"/>
    <w:rsid w:val="0087312F"/>
    <w:rsid w:val="008747E2"/>
    <w:rsid w:val="008748EE"/>
    <w:rsid w:val="00874A9A"/>
    <w:rsid w:val="00884B2A"/>
    <w:rsid w:val="008859ED"/>
    <w:rsid w:val="00887C26"/>
    <w:rsid w:val="0089265A"/>
    <w:rsid w:val="00893BCD"/>
    <w:rsid w:val="00897450"/>
    <w:rsid w:val="008A7E74"/>
    <w:rsid w:val="008B3E73"/>
    <w:rsid w:val="008B599D"/>
    <w:rsid w:val="008C0326"/>
    <w:rsid w:val="008E0EB9"/>
    <w:rsid w:val="008E35A3"/>
    <w:rsid w:val="008E6A66"/>
    <w:rsid w:val="008F056B"/>
    <w:rsid w:val="008F207D"/>
    <w:rsid w:val="00900BD5"/>
    <w:rsid w:val="009039AD"/>
    <w:rsid w:val="00905273"/>
    <w:rsid w:val="00905CE1"/>
    <w:rsid w:val="00925EBA"/>
    <w:rsid w:val="00946D14"/>
    <w:rsid w:val="00947E59"/>
    <w:rsid w:val="009530B8"/>
    <w:rsid w:val="00954123"/>
    <w:rsid w:val="00955BE3"/>
    <w:rsid w:val="009602F0"/>
    <w:rsid w:val="00962F80"/>
    <w:rsid w:val="0096352C"/>
    <w:rsid w:val="009727D6"/>
    <w:rsid w:val="0097387B"/>
    <w:rsid w:val="00974094"/>
    <w:rsid w:val="00974814"/>
    <w:rsid w:val="00977F73"/>
    <w:rsid w:val="009807EA"/>
    <w:rsid w:val="00980DEC"/>
    <w:rsid w:val="009934B7"/>
    <w:rsid w:val="009A70F4"/>
    <w:rsid w:val="009C26E7"/>
    <w:rsid w:val="009C4756"/>
    <w:rsid w:val="009C479B"/>
    <w:rsid w:val="009C61AC"/>
    <w:rsid w:val="009D7859"/>
    <w:rsid w:val="009D7CC7"/>
    <w:rsid w:val="009E16C0"/>
    <w:rsid w:val="009E179B"/>
    <w:rsid w:val="009F60DE"/>
    <w:rsid w:val="00A10791"/>
    <w:rsid w:val="00A14815"/>
    <w:rsid w:val="00A201BB"/>
    <w:rsid w:val="00A2457B"/>
    <w:rsid w:val="00A32C8F"/>
    <w:rsid w:val="00A33DDC"/>
    <w:rsid w:val="00A35E2B"/>
    <w:rsid w:val="00A52F19"/>
    <w:rsid w:val="00A559E0"/>
    <w:rsid w:val="00A570BF"/>
    <w:rsid w:val="00A62DEC"/>
    <w:rsid w:val="00A66627"/>
    <w:rsid w:val="00A671A8"/>
    <w:rsid w:val="00A76026"/>
    <w:rsid w:val="00A77431"/>
    <w:rsid w:val="00A82A58"/>
    <w:rsid w:val="00A94C92"/>
    <w:rsid w:val="00A95292"/>
    <w:rsid w:val="00AB0626"/>
    <w:rsid w:val="00AB17F2"/>
    <w:rsid w:val="00AC69F2"/>
    <w:rsid w:val="00AC7731"/>
    <w:rsid w:val="00AD0A33"/>
    <w:rsid w:val="00AD4551"/>
    <w:rsid w:val="00AD61CB"/>
    <w:rsid w:val="00AE0FDA"/>
    <w:rsid w:val="00AE3A7E"/>
    <w:rsid w:val="00AE3D41"/>
    <w:rsid w:val="00AF2FE8"/>
    <w:rsid w:val="00AF43B7"/>
    <w:rsid w:val="00AF4F69"/>
    <w:rsid w:val="00AF6DD4"/>
    <w:rsid w:val="00B01914"/>
    <w:rsid w:val="00B022B6"/>
    <w:rsid w:val="00B03B20"/>
    <w:rsid w:val="00B1424D"/>
    <w:rsid w:val="00B17C6A"/>
    <w:rsid w:val="00B221B8"/>
    <w:rsid w:val="00B23AD0"/>
    <w:rsid w:val="00B2465B"/>
    <w:rsid w:val="00B3493B"/>
    <w:rsid w:val="00B355AD"/>
    <w:rsid w:val="00B4025D"/>
    <w:rsid w:val="00B44CCC"/>
    <w:rsid w:val="00B53136"/>
    <w:rsid w:val="00B54281"/>
    <w:rsid w:val="00B5664B"/>
    <w:rsid w:val="00B605AC"/>
    <w:rsid w:val="00B6105E"/>
    <w:rsid w:val="00B61122"/>
    <w:rsid w:val="00B735CE"/>
    <w:rsid w:val="00B7414C"/>
    <w:rsid w:val="00B80FC0"/>
    <w:rsid w:val="00B81B8D"/>
    <w:rsid w:val="00B84B23"/>
    <w:rsid w:val="00B90EBD"/>
    <w:rsid w:val="00B91B6E"/>
    <w:rsid w:val="00B94F08"/>
    <w:rsid w:val="00BA5C86"/>
    <w:rsid w:val="00BA6309"/>
    <w:rsid w:val="00BB26C0"/>
    <w:rsid w:val="00BB2D93"/>
    <w:rsid w:val="00BB5B9A"/>
    <w:rsid w:val="00BD0133"/>
    <w:rsid w:val="00BD3008"/>
    <w:rsid w:val="00BD32FE"/>
    <w:rsid w:val="00BD5121"/>
    <w:rsid w:val="00BF3C27"/>
    <w:rsid w:val="00C016AF"/>
    <w:rsid w:val="00C020B8"/>
    <w:rsid w:val="00C05C64"/>
    <w:rsid w:val="00C10A78"/>
    <w:rsid w:val="00C1238B"/>
    <w:rsid w:val="00C1312B"/>
    <w:rsid w:val="00C13DE8"/>
    <w:rsid w:val="00C16FD2"/>
    <w:rsid w:val="00C23346"/>
    <w:rsid w:val="00C33C66"/>
    <w:rsid w:val="00C45082"/>
    <w:rsid w:val="00C45625"/>
    <w:rsid w:val="00C467D1"/>
    <w:rsid w:val="00C624D6"/>
    <w:rsid w:val="00C65360"/>
    <w:rsid w:val="00C7479B"/>
    <w:rsid w:val="00C776F4"/>
    <w:rsid w:val="00C817BF"/>
    <w:rsid w:val="00C84051"/>
    <w:rsid w:val="00C91164"/>
    <w:rsid w:val="00C923AB"/>
    <w:rsid w:val="00C9240D"/>
    <w:rsid w:val="00C924B4"/>
    <w:rsid w:val="00C9513E"/>
    <w:rsid w:val="00CA0C96"/>
    <w:rsid w:val="00CA3D60"/>
    <w:rsid w:val="00CA737A"/>
    <w:rsid w:val="00CB2EEF"/>
    <w:rsid w:val="00CB6ED5"/>
    <w:rsid w:val="00CD102D"/>
    <w:rsid w:val="00CD271D"/>
    <w:rsid w:val="00CE2C9F"/>
    <w:rsid w:val="00CF0C66"/>
    <w:rsid w:val="00CF48D8"/>
    <w:rsid w:val="00D03B38"/>
    <w:rsid w:val="00D05A5D"/>
    <w:rsid w:val="00D066C4"/>
    <w:rsid w:val="00D06788"/>
    <w:rsid w:val="00D101BB"/>
    <w:rsid w:val="00D1322B"/>
    <w:rsid w:val="00D13D58"/>
    <w:rsid w:val="00D21DE7"/>
    <w:rsid w:val="00D22848"/>
    <w:rsid w:val="00D27C48"/>
    <w:rsid w:val="00D3676C"/>
    <w:rsid w:val="00D43CDA"/>
    <w:rsid w:val="00D56D03"/>
    <w:rsid w:val="00D67A46"/>
    <w:rsid w:val="00D76136"/>
    <w:rsid w:val="00D854B0"/>
    <w:rsid w:val="00DA10E6"/>
    <w:rsid w:val="00DA1347"/>
    <w:rsid w:val="00DA6F85"/>
    <w:rsid w:val="00DA77BE"/>
    <w:rsid w:val="00DB51C1"/>
    <w:rsid w:val="00DB66BE"/>
    <w:rsid w:val="00DC06BB"/>
    <w:rsid w:val="00DC48E0"/>
    <w:rsid w:val="00DC49AD"/>
    <w:rsid w:val="00DD1BF4"/>
    <w:rsid w:val="00DE152D"/>
    <w:rsid w:val="00DE2721"/>
    <w:rsid w:val="00DE3C8F"/>
    <w:rsid w:val="00DE4E61"/>
    <w:rsid w:val="00DF146E"/>
    <w:rsid w:val="00DF40EE"/>
    <w:rsid w:val="00DF426A"/>
    <w:rsid w:val="00DF4698"/>
    <w:rsid w:val="00DF6048"/>
    <w:rsid w:val="00E02F41"/>
    <w:rsid w:val="00E044E7"/>
    <w:rsid w:val="00E07E5E"/>
    <w:rsid w:val="00E110A9"/>
    <w:rsid w:val="00E11144"/>
    <w:rsid w:val="00E1154E"/>
    <w:rsid w:val="00E2053B"/>
    <w:rsid w:val="00E21E2B"/>
    <w:rsid w:val="00E2362B"/>
    <w:rsid w:val="00E244CF"/>
    <w:rsid w:val="00E26778"/>
    <w:rsid w:val="00E3517E"/>
    <w:rsid w:val="00E35558"/>
    <w:rsid w:val="00E37B3B"/>
    <w:rsid w:val="00E44C45"/>
    <w:rsid w:val="00E51EBE"/>
    <w:rsid w:val="00E5373A"/>
    <w:rsid w:val="00E55B3E"/>
    <w:rsid w:val="00E63CEF"/>
    <w:rsid w:val="00E71FBE"/>
    <w:rsid w:val="00E762A1"/>
    <w:rsid w:val="00E819E1"/>
    <w:rsid w:val="00E87FCB"/>
    <w:rsid w:val="00E921B4"/>
    <w:rsid w:val="00E972B3"/>
    <w:rsid w:val="00EC206B"/>
    <w:rsid w:val="00EC741C"/>
    <w:rsid w:val="00ED4C76"/>
    <w:rsid w:val="00EE0197"/>
    <w:rsid w:val="00EE1C73"/>
    <w:rsid w:val="00EE7F6C"/>
    <w:rsid w:val="00F05A4B"/>
    <w:rsid w:val="00F06C98"/>
    <w:rsid w:val="00F10075"/>
    <w:rsid w:val="00F15185"/>
    <w:rsid w:val="00F201CD"/>
    <w:rsid w:val="00F2141D"/>
    <w:rsid w:val="00F2439C"/>
    <w:rsid w:val="00F36280"/>
    <w:rsid w:val="00F36D2F"/>
    <w:rsid w:val="00F41E7E"/>
    <w:rsid w:val="00F4275A"/>
    <w:rsid w:val="00F46986"/>
    <w:rsid w:val="00F55092"/>
    <w:rsid w:val="00F709EB"/>
    <w:rsid w:val="00F70DD7"/>
    <w:rsid w:val="00F74463"/>
    <w:rsid w:val="00F74818"/>
    <w:rsid w:val="00F75A0D"/>
    <w:rsid w:val="00F80873"/>
    <w:rsid w:val="00F8312B"/>
    <w:rsid w:val="00F8577D"/>
    <w:rsid w:val="00F91970"/>
    <w:rsid w:val="00F939DD"/>
    <w:rsid w:val="00FA367E"/>
    <w:rsid w:val="00FA4474"/>
    <w:rsid w:val="00FA6FB0"/>
    <w:rsid w:val="00FB0CC2"/>
    <w:rsid w:val="00FB17B1"/>
    <w:rsid w:val="00FB25BF"/>
    <w:rsid w:val="00FB2EFD"/>
    <w:rsid w:val="00FB37C6"/>
    <w:rsid w:val="00FB38D7"/>
    <w:rsid w:val="00FB6310"/>
    <w:rsid w:val="00FB72B5"/>
    <w:rsid w:val="00FC09FB"/>
    <w:rsid w:val="00FC1E4B"/>
    <w:rsid w:val="00FD77AB"/>
    <w:rsid w:val="00FD7AFD"/>
    <w:rsid w:val="00FE4DF6"/>
    <w:rsid w:val="00FE5D6D"/>
    <w:rsid w:val="00FE702F"/>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FB698"/>
  <w15:docId w15:val="{B6F064DF-3FF0-4CBD-BEEE-7DAA6F7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32"/>
      <w:szCs w:val="32"/>
    </w:rPr>
  </w:style>
  <w:style w:type="paragraph" w:styleId="Ttulo2">
    <w:name w:val="heading 2"/>
    <w:basedOn w:val="Normal"/>
    <w:next w:val="Normal"/>
    <w:link w:val="Ttulo2Car"/>
    <w:pPr>
      <w:ind w:left="102"/>
      <w:outlineLvl w:val="1"/>
    </w:pPr>
    <w:rPr>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5417F"/>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paragraph" w:styleId="Textoindependiente">
    <w:name w:val="Body Text"/>
    <w:basedOn w:val="Normal"/>
    <w:link w:val="TextoindependienteCar"/>
    <w:uiPriority w:val="99"/>
    <w:unhideWhenUsed/>
    <w:rsid w:val="00F05A4B"/>
    <w:pPr>
      <w:widowControl/>
      <w:spacing w:before="100" w:beforeAutospacing="1" w:after="100" w:afterAutospacing="1"/>
    </w:pPr>
    <w:rPr>
      <w:sz w:val="24"/>
      <w:szCs w:val="24"/>
      <w:lang w:val="es-ES_tradnl"/>
    </w:rPr>
  </w:style>
  <w:style w:type="character" w:customStyle="1" w:styleId="TextoindependienteCar">
    <w:name w:val="Texto independiente Car"/>
    <w:basedOn w:val="Fuentedeprrafopredeter"/>
    <w:link w:val="Textoindependiente"/>
    <w:uiPriority w:val="99"/>
    <w:rsid w:val="00F05A4B"/>
    <w:rPr>
      <w:sz w:val="24"/>
      <w:szCs w:val="24"/>
      <w:lang w:val="es-ES_tradnl"/>
    </w:rPr>
  </w:style>
  <w:style w:type="character" w:customStyle="1" w:styleId="titlepl">
    <w:name w:val="titlepl"/>
    <w:basedOn w:val="Fuentedeprrafopredeter"/>
    <w:rsid w:val="0016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071">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katherine-miranda-pena" TargetMode="External"/><Relationship Id="rId18" Type="http://schemas.openxmlformats.org/officeDocument/2006/relationships/hyperlink" Target="http://www.camara.gov.co/representantes/david-ricardo-racero-mayorca"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amara.gov.co/representantes/jairo-humberto-cristo-corre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alfredo-rafael-deluque-zuleta" TargetMode="External"/><Relationship Id="rId17" Type="http://schemas.openxmlformats.org/officeDocument/2006/relationships/hyperlink" Target="http://www.camara.gov.co/representantes/harry-giovanny-gonzalez-garcia" TargetMode="External"/><Relationship Id="rId25" Type="http://schemas.openxmlformats.org/officeDocument/2006/relationships/image" Target="media/image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ciro-fernandez-nunez" TargetMode="External"/><Relationship Id="rId20" Type="http://schemas.openxmlformats.org/officeDocument/2006/relationships/hyperlink" Target="http://www.camara.gov.co/representantes/catalina-ortiz-lalinde" TargetMode="External"/><Relationship Id="rId29" Type="http://schemas.openxmlformats.org/officeDocument/2006/relationships/hyperlink" Target="http://fileserver.idpc.net/library/dpa_marijuana_legalization_report_v8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ndres-david-calle-aguas" TargetMode="External"/><Relationship Id="rId24" Type="http://schemas.openxmlformats.org/officeDocument/2006/relationships/hyperlink" Target="http://www.ias.org.uk/uploads/pdf/News%20stories/dnutt-lancet-011110.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gov.co/representantes/alejandro-alberto-vega-perez" TargetMode="External"/><Relationship Id="rId23" Type="http://schemas.openxmlformats.org/officeDocument/2006/relationships/hyperlink" Target="http://www.camara.gov.co/representantes/inti-raul-asprilla-reyes" TargetMode="External"/><Relationship Id="rId28" Type="http://schemas.openxmlformats.org/officeDocument/2006/relationships/hyperlink" Target="https://sitios.dane.gov.co/cnpv-presentacion/src/" TargetMode="External"/><Relationship Id="rId10" Type="http://schemas.openxmlformats.org/officeDocument/2006/relationships/hyperlink" Target="http://www.camara.gov.co/representantes/cesar-augusto-lorduy-maldonado" TargetMode="External"/><Relationship Id="rId19" Type="http://schemas.openxmlformats.org/officeDocument/2006/relationships/hyperlink" Target="http://www.camara.gov.co/representantes/mauricio-andres-toro-orjuela" TargetMode="External"/><Relationship Id="rId31" Type="http://schemas.openxmlformats.org/officeDocument/2006/relationships/hyperlink" Target="http://www.prisonstudies.org/country/colombia" TargetMode="External"/><Relationship Id="rId4" Type="http://schemas.openxmlformats.org/officeDocument/2006/relationships/settings" Target="settings.xml"/><Relationship Id="rId9" Type="http://schemas.openxmlformats.org/officeDocument/2006/relationships/hyperlink" Target="http://www.camara.gov.co/representantes/juan-fernando-reyes-kuri" TargetMode="External"/><Relationship Id="rId14" Type="http://schemas.openxmlformats.org/officeDocument/2006/relationships/hyperlink" Target="http://www.camara.gov.co/representantes/juanita-maria-goebertus-estrada" TargetMode="External"/><Relationship Id="rId22" Type="http://schemas.openxmlformats.org/officeDocument/2006/relationships/hyperlink" Target="http://www.camara.gov.co/representantes/fabio-fernando-arroyave-rivas" TargetMode="External"/><Relationship Id="rId27" Type="http://schemas.openxmlformats.org/officeDocument/2006/relationships/hyperlink" Target="http://www.globalcommissionondrugs.org/wp-content/uploads/2018/11/SPA-2018_SDGPaper_WEB.pdf" TargetMode="External"/><Relationship Id="rId30" Type="http://schemas.openxmlformats.org/officeDocument/2006/relationships/hyperlink" Target="https://www.vox.com/2014/5/19/5727712/drug-alcohol-deaths" TargetMode="External"/><Relationship Id="rId35" Type="http://schemas.openxmlformats.org/officeDocument/2006/relationships/theme" Target="theme/theme1.xml"/><Relationship Id="rId8" Type="http://schemas.openxmlformats.org/officeDocument/2006/relationships/hyperlink" Target="http://www.camara.gov.co/representantes/juan-carlos-lozada-varg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vox.com/2014/5/19/5727712/drug-alcohol-deaths" TargetMode="External"/><Relationship Id="rId2" Type="http://schemas.openxmlformats.org/officeDocument/2006/relationships/hyperlink" Target="http://www.globalcommissionondrugs.org/wp-content/uploads/2018/11/SPA-2018_SDGPaper_WEB.pdf" TargetMode="External"/><Relationship Id="rId1" Type="http://schemas.openxmlformats.org/officeDocument/2006/relationships/hyperlink" Target="https://www.dejusticia.org/wp-content/uploads/2017/07/Delitos-de-drogas-y-sobredosis-carcelaria-en-Colombia-Version-final-PDF-para-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EBC6-C6E1-422F-AD85-34B2055A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9345</Words>
  <Characters>51402</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cadavid</dc:creator>
  <cp:lastModifiedBy>German Roberto Mesias Gamez</cp:lastModifiedBy>
  <cp:revision>3</cp:revision>
  <cp:lastPrinted>2019-10-02T15:50:00Z</cp:lastPrinted>
  <dcterms:created xsi:type="dcterms:W3CDTF">2019-10-02T15:56:00Z</dcterms:created>
  <dcterms:modified xsi:type="dcterms:W3CDTF">2019-10-02T15:58:00Z</dcterms:modified>
</cp:coreProperties>
</file>